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W w:w="10762" w:type="dxa"/>
        <w:tblInd w:w="-900" w:type="dxa"/>
        <w:tblLayout w:type="fixed"/>
        <w:tblLook w:val="0000" w:firstRow="0" w:lastRow="0" w:firstColumn="0" w:lastColumn="0" w:noHBand="0" w:noVBand="0"/>
      </w:tblPr>
      <w:tblGrid>
        <w:gridCol w:w="4950"/>
        <w:gridCol w:w="5812"/>
      </w:tblGrid>
      <w:tr w:rsidR="001D0D26" w14:paraId="66E0C160" w14:textId="77777777" w:rsidTr="008371BC">
        <w:trPr>
          <w:trHeight w:val="1266"/>
        </w:trPr>
        <w:tc>
          <w:tcPr>
            <w:tcW w:w="4950" w:type="dxa"/>
          </w:tcPr>
          <w:p w14:paraId="3905F22F" w14:textId="77777777" w:rsidR="001D0D26" w:rsidRDefault="00142770">
            <w:pPr>
              <w:ind w:left="426" w:right="427"/>
              <w:jc w:val="center"/>
              <w:rPr>
                <w:sz w:val="26"/>
                <w:szCs w:val="26"/>
              </w:rPr>
            </w:pPr>
            <w:r>
              <w:rPr>
                <w:sz w:val="26"/>
                <w:szCs w:val="26"/>
              </w:rPr>
              <w:t xml:space="preserve">  BỘ Y TẾ</w:t>
            </w:r>
          </w:p>
          <w:p w14:paraId="3428BFDB" w14:textId="74D77CD7" w:rsidR="001D0D26" w:rsidRDefault="00142770">
            <w:pPr>
              <w:ind w:left="177" w:right="-540"/>
              <w:rPr>
                <w:sz w:val="26"/>
                <w:szCs w:val="26"/>
              </w:rPr>
            </w:pPr>
            <w:r>
              <w:rPr>
                <w:b/>
                <w:sz w:val="26"/>
                <w:szCs w:val="26"/>
              </w:rPr>
              <w:t xml:space="preserve">    CỤC HẠ TẦNG VÀ THIẾT BỊ Y TẾ</w:t>
            </w:r>
          </w:p>
          <w:p w14:paraId="1A54F2AD" w14:textId="09DD3BFF" w:rsidR="001D0D26" w:rsidRDefault="00424D1F">
            <w:pPr>
              <w:ind w:left="317" w:right="427"/>
              <w:jc w:val="center"/>
              <w:rPr>
                <w:sz w:val="12"/>
                <w:szCs w:val="12"/>
              </w:rPr>
            </w:pPr>
            <w:r>
              <w:rPr>
                <w:noProof/>
                <w:lang w:val="en-US" w:eastAsia="en-US"/>
              </w:rPr>
              <mc:AlternateContent>
                <mc:Choice Requires="wps">
                  <w:drawing>
                    <wp:anchor distT="0" distB="0" distL="114300" distR="114300" simplePos="0" relativeHeight="251660288" behindDoc="0" locked="0" layoutInCell="1" allowOverlap="1" wp14:anchorId="032DED4E" wp14:editId="6F200EE7">
                      <wp:simplePos x="0" y="0"/>
                      <wp:positionH relativeFrom="column">
                        <wp:posOffset>965200</wp:posOffset>
                      </wp:positionH>
                      <wp:positionV relativeFrom="paragraph">
                        <wp:posOffset>29845</wp:posOffset>
                      </wp:positionV>
                      <wp:extent cx="1095375" cy="0"/>
                      <wp:effectExtent l="0" t="0" r="0" b="0"/>
                      <wp:wrapNone/>
                      <wp:docPr id="295340284" name="Straight Connector 3"/>
                      <wp:cNvGraphicFramePr/>
                      <a:graphic xmlns:a="http://schemas.openxmlformats.org/drawingml/2006/main">
                        <a:graphicData uri="http://schemas.microsoft.com/office/word/2010/wordprocessingShape">
                          <wps:wsp>
                            <wps:cNvCnPr/>
                            <wps:spPr>
                              <a:xfrm flipV="1">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A4B8E52"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2.35pt" to="162.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" strokecolor="black [3040]"/>
                  </w:pict>
                </mc:Fallback>
              </mc:AlternateContent>
            </w:r>
            <w:r>
              <w:rPr>
                <w:noProof/>
                <w:lang w:val="en-US" w:eastAsia="en-US"/>
              </w:rPr>
              <mc:AlternateContent>
                <mc:Choice Requires="wps">
                  <w:drawing>
                    <wp:anchor distT="0" distB="0" distL="114300" distR="114300" simplePos="0" relativeHeight="251658240" behindDoc="0" locked="0" layoutInCell="1" hidden="0" allowOverlap="1" wp14:anchorId="629060A3" wp14:editId="57D83C68">
                      <wp:simplePos x="0" y="0"/>
                      <wp:positionH relativeFrom="column">
                        <wp:posOffset>1171575</wp:posOffset>
                      </wp:positionH>
                      <wp:positionV relativeFrom="paragraph">
                        <wp:posOffset>12700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998338" y="3780000"/>
                                <a:ext cx="6953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1171575</wp:posOffset>
                      </wp:positionH>
                      <wp:positionV relativeFrom="paragraph">
                        <wp:posOffset>12700</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28931D6B" w14:textId="77777777" w:rsidR="001D0D26" w:rsidRDefault="001D0D26">
            <w:pPr>
              <w:ind w:left="426" w:right="427"/>
              <w:jc w:val="center"/>
              <w:rPr>
                <w:sz w:val="10"/>
                <w:szCs w:val="10"/>
              </w:rPr>
            </w:pPr>
          </w:p>
          <w:p w14:paraId="2EDC4892" w14:textId="1E2D9D45" w:rsidR="001D0D26" w:rsidRDefault="001D0D26">
            <w:pPr>
              <w:ind w:left="426"/>
              <w:jc w:val="center"/>
              <w:rPr>
                <w:sz w:val="22"/>
                <w:szCs w:val="22"/>
              </w:rPr>
            </w:pPr>
          </w:p>
        </w:tc>
        <w:tc>
          <w:tcPr>
            <w:tcW w:w="5812" w:type="dxa"/>
          </w:tcPr>
          <w:p w14:paraId="53D8D371" w14:textId="77777777" w:rsidR="001D0D26" w:rsidRDefault="00142770">
            <w:pPr>
              <w:pBdr>
                <w:top w:val="nil"/>
                <w:left w:val="nil"/>
                <w:bottom w:val="nil"/>
                <w:right w:val="nil"/>
                <w:between w:val="nil"/>
              </w:pBdr>
              <w:ind w:right="-250"/>
              <w:jc w:val="both"/>
              <w:rPr>
                <w:color w:val="000000"/>
                <w:sz w:val="26"/>
                <w:szCs w:val="26"/>
              </w:rPr>
            </w:pPr>
            <w:r>
              <w:rPr>
                <w:b/>
                <w:color w:val="000000"/>
                <w:sz w:val="26"/>
                <w:szCs w:val="26"/>
              </w:rPr>
              <w:t>CỘNG HÒA XÃ HỘI CHỦ NGHĨA VIỆT NAM</w:t>
            </w:r>
          </w:p>
          <w:p w14:paraId="40347E0D" w14:textId="6D97D490" w:rsidR="001D0D26" w:rsidRDefault="00142770">
            <w:pPr>
              <w:ind w:left="426" w:right="427"/>
              <w:jc w:val="center"/>
            </w:pPr>
            <w:r>
              <w:rPr>
                <w:b/>
              </w:rPr>
              <w:t xml:space="preserve">  Độc lập - Tự do - Hạnh phúc</w:t>
            </w:r>
          </w:p>
          <w:p w14:paraId="38D4970F" w14:textId="74C29750" w:rsidR="001D0D26" w:rsidRDefault="00424D1F">
            <w:pPr>
              <w:ind w:left="426" w:right="427"/>
              <w:rPr>
                <w:sz w:val="12"/>
                <w:szCs w:val="12"/>
              </w:rPr>
            </w:pPr>
            <w:r>
              <w:rPr>
                <w:b/>
                <w:noProof/>
                <w:lang w:val="en-US" w:eastAsia="en-US"/>
              </w:rPr>
              <mc:AlternateContent>
                <mc:Choice Requires="wps">
                  <w:drawing>
                    <wp:anchor distT="0" distB="0" distL="114300" distR="114300" simplePos="0" relativeHeight="251661312" behindDoc="0" locked="0" layoutInCell="1" allowOverlap="1" wp14:anchorId="755D1462" wp14:editId="5D7FF129">
                      <wp:simplePos x="0" y="0"/>
                      <wp:positionH relativeFrom="column">
                        <wp:posOffset>870585</wp:posOffset>
                      </wp:positionH>
                      <wp:positionV relativeFrom="paragraph">
                        <wp:posOffset>15240</wp:posOffset>
                      </wp:positionV>
                      <wp:extent cx="1790700" cy="0"/>
                      <wp:effectExtent l="0" t="0" r="0" b="0"/>
                      <wp:wrapNone/>
                      <wp:docPr id="889982951" name="Straight Connector 4"/>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3676E5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pt" to="209.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" strokecolor="black [3040]"/>
                  </w:pict>
                </mc:Fallback>
              </mc:AlternateContent>
            </w:r>
            <w:r>
              <w:rPr>
                <w:i/>
              </w:rPr>
              <w:t xml:space="preserve">       </w:t>
            </w:r>
            <w:r>
              <w:rPr>
                <w:noProof/>
                <w:lang w:val="en-US" w:eastAsia="en-US"/>
              </w:rPr>
              <mc:AlternateContent>
                <mc:Choice Requires="wps">
                  <w:drawing>
                    <wp:anchor distT="0" distB="0" distL="114300" distR="114300" simplePos="0" relativeHeight="251659264" behindDoc="0" locked="0" layoutInCell="1" hidden="0" allowOverlap="1" wp14:anchorId="1D9250E7" wp14:editId="11366FB5">
                      <wp:simplePos x="0" y="0"/>
                      <wp:positionH relativeFrom="column">
                        <wp:posOffset>815975</wp:posOffset>
                      </wp:positionH>
                      <wp:positionV relativeFrom="paragraph">
                        <wp:posOffset>12065</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45875" y="3780000"/>
                                <a:ext cx="200025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815975</wp:posOffset>
                      </wp:positionH>
                      <wp:positionV relativeFrom="paragraph">
                        <wp:posOffset>12065</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4EB3E839" w14:textId="77777777" w:rsidR="001D0D26" w:rsidRPr="00DC3198" w:rsidRDefault="00142770">
            <w:pPr>
              <w:ind w:left="426" w:right="427"/>
              <w:rPr>
                <w:sz w:val="26"/>
                <w:szCs w:val="26"/>
              </w:rPr>
            </w:pPr>
            <w:r>
              <w:rPr>
                <w:i/>
              </w:rPr>
              <w:t xml:space="preserve">     </w:t>
            </w:r>
            <w:r w:rsidRPr="00DC3198">
              <w:rPr>
                <w:i/>
                <w:sz w:val="26"/>
                <w:szCs w:val="26"/>
              </w:rPr>
              <w:t>Hà Nội, ngày      tháng     năm 2025</w:t>
            </w:r>
          </w:p>
        </w:tc>
      </w:tr>
    </w:tbl>
    <w:p w14:paraId="2D576194" w14:textId="20613CB4" w:rsidR="001D0D26" w:rsidRPr="00DC3198" w:rsidRDefault="008371BC" w:rsidP="008371BC">
      <w:pPr>
        <w:spacing w:before="360" w:after="480" w:line="276" w:lineRule="auto"/>
        <w:ind w:right="-334"/>
        <w:jc w:val="center"/>
        <w:rPr>
          <w:sz w:val="26"/>
          <w:szCs w:val="26"/>
        </w:rPr>
      </w:pPr>
      <w:r w:rsidRPr="00DC3198">
        <w:rPr>
          <w:sz w:val="26"/>
          <w:szCs w:val="26"/>
        </w:rPr>
        <w:t>BẢN TỔNG HỢP Ý KIẾN, TIẾP THU, GIẢI TRÌNH Ý KIẾN GÓP Ý THÔNG TƯ QUY ĐỊNH VIỆC PHÂN CẤP THỰC HIỆN MỘT SỐ NHIỆM VỤ, GIẢI QUYẾT MỘT SỐ THỦ TỤC HÀNH CHÍNH TRONG LĨNH VỰC THIẾT BỊ Y TẾ THUỘC THẨM QUYỀN CỦA BỘ Y TẾ VÀ QUY ĐỊNH VỀ MẪU VĂN BẢN, BÁO CÁO THỰC HIỆN QUẢN LÝ THIẾT BỊ Y TẾ</w:t>
      </w:r>
    </w:p>
    <w:p w14:paraId="15485B19" w14:textId="77777777" w:rsidR="008371BC" w:rsidRPr="00DC3198" w:rsidRDefault="008371BC" w:rsidP="008371BC">
      <w:pPr>
        <w:spacing w:before="360" w:after="120" w:line="276" w:lineRule="auto"/>
        <w:ind w:right="-334" w:firstLine="720"/>
        <w:jc w:val="both"/>
        <w:rPr>
          <w:spacing w:val="-2"/>
          <w:sz w:val="26"/>
          <w:szCs w:val="26"/>
        </w:rPr>
      </w:pPr>
      <w:r w:rsidRPr="00DC3198">
        <w:rPr>
          <w:spacing w:val="-2"/>
          <w:sz w:val="26"/>
          <w:szCs w:val="26"/>
        </w:rPr>
        <w:t>Căn cứ Luật Ban hành văn bản quy phạm pháp luật, Cục Hạ tầng và Thiết bị y tế đã tổ chức lấy ý kiến góp ý thông tư quy định việc phân cấp thực hiện một số nhiệm vụ, giải quyết một số thủ tục hành chính trong lĩnh vực thiết bị y tế thuộc thẩm quyền của bộ y tế và quy định về mẫu văn bản, báo cáo thực hiện quản lý thiết bị y tế.</w:t>
      </w:r>
    </w:p>
    <w:p w14:paraId="7A8F5E12" w14:textId="61F8D426" w:rsidR="008371BC" w:rsidRPr="00DC3198" w:rsidRDefault="008371BC" w:rsidP="008371BC">
      <w:pPr>
        <w:spacing w:after="120" w:line="276" w:lineRule="auto"/>
        <w:ind w:right="-334" w:firstLine="720"/>
        <w:jc w:val="both"/>
        <w:rPr>
          <w:sz w:val="26"/>
          <w:szCs w:val="26"/>
          <w:lang w:val="fr-FR"/>
        </w:rPr>
      </w:pPr>
      <w:r w:rsidRPr="00DC3198">
        <w:rPr>
          <w:sz w:val="26"/>
          <w:szCs w:val="26"/>
        </w:rPr>
        <w:t xml:space="preserve">1. Tổng số cơ quan, tổ chức, cá nhân đã gửi xin ý kiến góp ý: Gồm </w:t>
      </w:r>
      <w:r w:rsidRPr="00DC3198">
        <w:rPr>
          <w:spacing w:val="-1"/>
          <w:sz w:val="26"/>
          <w:szCs w:val="26"/>
        </w:rPr>
        <w:t>04</w:t>
      </w:r>
      <w:r w:rsidRPr="00DC3198">
        <w:rPr>
          <w:spacing w:val="-1"/>
          <w:sz w:val="26"/>
          <w:szCs w:val="26"/>
          <w:lang w:val="en-US"/>
        </w:rPr>
        <w:t xml:space="preserve"> Vụ/Cục tại Bộ Y tế</w:t>
      </w:r>
      <w:r w:rsidRPr="00DC3198">
        <w:rPr>
          <w:spacing w:val="-1"/>
          <w:sz w:val="26"/>
          <w:szCs w:val="26"/>
          <w:lang w:val="vi-VN"/>
        </w:rPr>
        <w:t xml:space="preserve"> (</w:t>
      </w:r>
      <w:r w:rsidRPr="00DC3198">
        <w:rPr>
          <w:bCs/>
          <w:sz w:val="26"/>
          <w:szCs w:val="26"/>
          <w:lang w:val="it-IT"/>
        </w:rPr>
        <w:t>Vụ Pháp chế</w:t>
      </w:r>
      <w:r w:rsidRPr="00DC3198">
        <w:rPr>
          <w:bCs/>
          <w:sz w:val="26"/>
          <w:szCs w:val="26"/>
          <w:lang w:val="vi-VN"/>
        </w:rPr>
        <w:t xml:space="preserve">, </w:t>
      </w:r>
      <w:r w:rsidRPr="00DC3198">
        <w:rPr>
          <w:bCs/>
          <w:sz w:val="26"/>
          <w:szCs w:val="26"/>
          <w:lang w:val="it-IT"/>
        </w:rPr>
        <w:t>Văn phòng Bộ</w:t>
      </w:r>
      <w:r w:rsidRPr="00DC3198">
        <w:rPr>
          <w:bCs/>
          <w:sz w:val="26"/>
          <w:szCs w:val="26"/>
          <w:lang w:val="vi-VN"/>
        </w:rPr>
        <w:t xml:space="preserve">, </w:t>
      </w:r>
      <w:r w:rsidRPr="00DC3198">
        <w:rPr>
          <w:spacing w:val="-1"/>
          <w:sz w:val="26"/>
          <w:szCs w:val="26"/>
        </w:rPr>
        <w:t>Vụ Tổ chức Cán bộ</w:t>
      </w:r>
      <w:r w:rsidRPr="00DC3198">
        <w:rPr>
          <w:spacing w:val="-1"/>
          <w:sz w:val="26"/>
          <w:szCs w:val="26"/>
          <w:lang w:val="vi-VN"/>
        </w:rPr>
        <w:t xml:space="preserve">, </w:t>
      </w:r>
      <w:r w:rsidRPr="00DC3198">
        <w:rPr>
          <w:bCs/>
          <w:sz w:val="26"/>
          <w:szCs w:val="26"/>
          <w:lang w:val="it-IT"/>
        </w:rPr>
        <w:t xml:space="preserve">Cục </w:t>
      </w:r>
      <w:r w:rsidRPr="00DC3198">
        <w:rPr>
          <w:sz w:val="26"/>
          <w:szCs w:val="26"/>
          <w:lang w:val="fr-FR"/>
        </w:rPr>
        <w:t>Khoa học công nghệ và Đào tạo)</w:t>
      </w:r>
      <w:r w:rsidR="00DC22D2" w:rsidRPr="00DC3198">
        <w:rPr>
          <w:sz w:val="26"/>
          <w:szCs w:val="26"/>
          <w:lang w:val="fr-FR"/>
        </w:rPr>
        <w:t xml:space="preserve">; 34 Sở Y tế các tỉnh, thành phố trực thuộc Trung ương; </w:t>
      </w:r>
      <w:r w:rsidR="001852C7" w:rsidRPr="00DC3198">
        <w:rPr>
          <w:sz w:val="26"/>
          <w:szCs w:val="26"/>
          <w:lang w:val="fr-FR"/>
        </w:rPr>
        <w:t>các cơ sở sản xuất, mua bán, xuất khẩu, nhập khẩu thiết bị y tế.</w:t>
      </w:r>
    </w:p>
    <w:p w14:paraId="21EF9CC2" w14:textId="23649D6D" w:rsidR="001852C7" w:rsidRPr="00DC3198" w:rsidRDefault="001852C7" w:rsidP="008371BC">
      <w:pPr>
        <w:spacing w:after="120" w:line="276" w:lineRule="auto"/>
        <w:ind w:right="-334" w:firstLine="720"/>
        <w:jc w:val="both"/>
        <w:rPr>
          <w:sz w:val="26"/>
          <w:szCs w:val="26"/>
          <w:lang w:val="fr-FR"/>
        </w:rPr>
      </w:pPr>
      <w:r w:rsidRPr="00DC3198">
        <w:rPr>
          <w:sz w:val="26"/>
          <w:szCs w:val="26"/>
          <w:lang w:val="fr-FR"/>
        </w:rPr>
        <w:t>Tổng số ý kiến nhận được: 30.</w:t>
      </w:r>
    </w:p>
    <w:p w14:paraId="65F83117" w14:textId="2FDD6D30" w:rsidR="001852C7" w:rsidRPr="00DC3198" w:rsidRDefault="001852C7" w:rsidP="008371BC">
      <w:pPr>
        <w:spacing w:after="120" w:line="276" w:lineRule="auto"/>
        <w:ind w:right="-334" w:firstLine="720"/>
        <w:jc w:val="both"/>
        <w:rPr>
          <w:sz w:val="26"/>
          <w:szCs w:val="26"/>
          <w:lang w:val="fr-FR"/>
        </w:rPr>
      </w:pPr>
      <w:r w:rsidRPr="00DC3198">
        <w:rPr>
          <w:sz w:val="26"/>
          <w:szCs w:val="26"/>
          <w:lang w:val="fr-FR"/>
        </w:rPr>
        <w:t>2. Kết quả cụ thể như sau:</w:t>
      </w:r>
    </w:p>
    <w:tbl>
      <w:tblPr>
        <w:tblStyle w:val="TableGrid"/>
        <w:tblW w:w="9493" w:type="dxa"/>
        <w:tblLook w:val="04A0" w:firstRow="1" w:lastRow="0" w:firstColumn="1" w:lastColumn="0" w:noHBand="0" w:noVBand="1"/>
      </w:tblPr>
      <w:tblGrid>
        <w:gridCol w:w="1770"/>
        <w:gridCol w:w="1106"/>
        <w:gridCol w:w="3627"/>
        <w:gridCol w:w="2990"/>
      </w:tblGrid>
      <w:tr w:rsidR="001852C7" w:rsidRPr="0022293F" w14:paraId="6D4CF17B" w14:textId="77777777" w:rsidTr="004442BD">
        <w:tc>
          <w:tcPr>
            <w:tcW w:w="1770" w:type="dxa"/>
          </w:tcPr>
          <w:p w14:paraId="5094C2F0" w14:textId="4E7F983C" w:rsidR="001852C7" w:rsidRPr="0022293F" w:rsidRDefault="000E1E51" w:rsidP="00444639">
            <w:pPr>
              <w:spacing w:after="120" w:line="276" w:lineRule="auto"/>
              <w:ind w:leftChars="0" w:left="0" w:firstLineChars="0" w:firstLine="0"/>
              <w:rPr>
                <w:b/>
                <w:sz w:val="24"/>
                <w:szCs w:val="24"/>
                <w:lang w:val="fr-FR"/>
              </w:rPr>
            </w:pPr>
            <w:r>
              <w:rPr>
                <w:b/>
                <w:sz w:val="24"/>
                <w:szCs w:val="24"/>
                <w:lang w:val="fr-FR"/>
              </w:rPr>
              <w:t xml:space="preserve">Nhóm vấn đề, </w:t>
            </w:r>
            <w:r w:rsidR="001852C7" w:rsidRPr="0022293F">
              <w:rPr>
                <w:b/>
                <w:sz w:val="24"/>
                <w:szCs w:val="24"/>
                <w:lang w:val="fr-FR"/>
              </w:rPr>
              <w:t>Điều, khoản</w:t>
            </w:r>
          </w:p>
        </w:tc>
        <w:tc>
          <w:tcPr>
            <w:tcW w:w="1106" w:type="dxa"/>
          </w:tcPr>
          <w:p w14:paraId="72BE56B2" w14:textId="77777777" w:rsidR="0022293F" w:rsidRDefault="001852C7" w:rsidP="0022293F">
            <w:pPr>
              <w:spacing w:line="276" w:lineRule="auto"/>
              <w:ind w:leftChars="0" w:left="0" w:firstLineChars="0" w:firstLine="0"/>
              <w:jc w:val="center"/>
              <w:rPr>
                <w:b/>
                <w:sz w:val="24"/>
                <w:szCs w:val="24"/>
                <w:lang w:val="fr-FR"/>
              </w:rPr>
            </w:pPr>
            <w:r w:rsidRPr="0022293F">
              <w:rPr>
                <w:b/>
                <w:sz w:val="24"/>
                <w:szCs w:val="24"/>
                <w:lang w:val="fr-FR"/>
              </w:rPr>
              <w:t xml:space="preserve">Đơn vị </w:t>
            </w:r>
          </w:p>
          <w:p w14:paraId="760747A7" w14:textId="2E8300B1" w:rsidR="001852C7" w:rsidRPr="0022293F" w:rsidRDefault="001852C7" w:rsidP="00444639">
            <w:pPr>
              <w:spacing w:after="120" w:line="276" w:lineRule="auto"/>
              <w:ind w:leftChars="0" w:left="0" w:firstLineChars="0" w:firstLine="0"/>
              <w:jc w:val="center"/>
              <w:rPr>
                <w:b/>
                <w:sz w:val="24"/>
                <w:szCs w:val="24"/>
                <w:lang w:val="fr-FR"/>
              </w:rPr>
            </w:pPr>
            <w:r w:rsidRPr="0022293F">
              <w:rPr>
                <w:b/>
                <w:sz w:val="24"/>
                <w:szCs w:val="24"/>
                <w:lang w:val="fr-FR"/>
              </w:rPr>
              <w:t>góp</w:t>
            </w:r>
            <w:r w:rsidR="00444639" w:rsidRPr="0022293F">
              <w:rPr>
                <w:b/>
                <w:sz w:val="24"/>
                <w:szCs w:val="24"/>
                <w:lang w:val="fr-FR"/>
              </w:rPr>
              <w:t xml:space="preserve"> ý</w:t>
            </w:r>
            <w:r w:rsidRPr="0022293F">
              <w:rPr>
                <w:b/>
                <w:sz w:val="24"/>
                <w:szCs w:val="24"/>
                <w:lang w:val="fr-FR"/>
              </w:rPr>
              <w:t xml:space="preserve"> </w:t>
            </w:r>
          </w:p>
        </w:tc>
        <w:tc>
          <w:tcPr>
            <w:tcW w:w="3627" w:type="dxa"/>
          </w:tcPr>
          <w:p w14:paraId="1054C30A" w14:textId="3555FCAE" w:rsidR="001852C7" w:rsidRPr="0022293F" w:rsidRDefault="001852C7" w:rsidP="00444639">
            <w:pPr>
              <w:spacing w:after="120" w:line="276" w:lineRule="auto"/>
              <w:ind w:leftChars="0" w:left="0" w:firstLineChars="0" w:firstLine="0"/>
              <w:jc w:val="center"/>
              <w:rPr>
                <w:b/>
                <w:sz w:val="24"/>
                <w:szCs w:val="24"/>
                <w:lang w:val="fr-FR"/>
              </w:rPr>
            </w:pPr>
            <w:r w:rsidRPr="0022293F">
              <w:rPr>
                <w:b/>
                <w:sz w:val="24"/>
                <w:szCs w:val="24"/>
                <w:lang w:val="fr-FR"/>
              </w:rPr>
              <w:t>Nội dung góp ý</w:t>
            </w:r>
          </w:p>
        </w:tc>
        <w:tc>
          <w:tcPr>
            <w:tcW w:w="2990" w:type="dxa"/>
          </w:tcPr>
          <w:p w14:paraId="1ECB035E" w14:textId="5338BC4B" w:rsidR="001852C7" w:rsidRPr="0022293F" w:rsidRDefault="001852C7" w:rsidP="00444639">
            <w:pPr>
              <w:spacing w:after="120" w:line="276" w:lineRule="auto"/>
              <w:ind w:leftChars="0" w:left="0" w:firstLineChars="0" w:firstLine="0"/>
              <w:jc w:val="center"/>
              <w:rPr>
                <w:b/>
                <w:sz w:val="24"/>
                <w:szCs w:val="24"/>
                <w:lang w:val="fr-FR"/>
              </w:rPr>
            </w:pPr>
            <w:r w:rsidRPr="0022293F">
              <w:rPr>
                <w:b/>
                <w:sz w:val="24"/>
                <w:szCs w:val="24"/>
                <w:lang w:val="fr-FR"/>
              </w:rPr>
              <w:t>Nội dung tiếp thu, giải trình</w:t>
            </w:r>
          </w:p>
        </w:tc>
      </w:tr>
      <w:tr w:rsidR="001852C7" w:rsidRPr="0022293F" w14:paraId="746A8747" w14:textId="77777777" w:rsidTr="004442BD">
        <w:tc>
          <w:tcPr>
            <w:tcW w:w="1770" w:type="dxa"/>
          </w:tcPr>
          <w:p w14:paraId="3BD8EEB3" w14:textId="0E14FDD7" w:rsidR="001852C7" w:rsidRPr="0022293F" w:rsidRDefault="00444639" w:rsidP="00444639">
            <w:pPr>
              <w:spacing w:after="120" w:line="276" w:lineRule="auto"/>
              <w:ind w:leftChars="0" w:left="0" w:firstLineChars="0" w:firstLine="0"/>
              <w:jc w:val="both"/>
              <w:rPr>
                <w:sz w:val="24"/>
                <w:szCs w:val="24"/>
                <w:lang w:val="fr-FR"/>
              </w:rPr>
            </w:pPr>
            <w:r w:rsidRPr="0022293F">
              <w:rPr>
                <w:sz w:val="24"/>
                <w:szCs w:val="24"/>
              </w:rPr>
              <w:t>Bố cục, Thể thức, Trình tự, Thủ tục soạn thảo văn bản</w:t>
            </w:r>
          </w:p>
        </w:tc>
        <w:tc>
          <w:tcPr>
            <w:tcW w:w="1106" w:type="dxa"/>
          </w:tcPr>
          <w:p w14:paraId="0C4A1BFA" w14:textId="603A7805" w:rsidR="001852C7" w:rsidRPr="0022293F" w:rsidRDefault="00444639" w:rsidP="00444639">
            <w:pPr>
              <w:spacing w:after="120" w:line="276" w:lineRule="auto"/>
              <w:ind w:leftChars="0" w:left="0" w:firstLineChars="0" w:firstLine="0"/>
              <w:jc w:val="both"/>
              <w:rPr>
                <w:sz w:val="24"/>
                <w:szCs w:val="24"/>
                <w:lang w:val="fr-FR"/>
              </w:rPr>
            </w:pPr>
            <w:r w:rsidRPr="0022293F">
              <w:rPr>
                <w:bCs/>
                <w:sz w:val="24"/>
                <w:szCs w:val="24"/>
                <w:lang w:val="it-IT"/>
              </w:rPr>
              <w:t>Vụ Pháp chế</w:t>
            </w:r>
          </w:p>
        </w:tc>
        <w:tc>
          <w:tcPr>
            <w:tcW w:w="3627" w:type="dxa"/>
          </w:tcPr>
          <w:p w14:paraId="121FFC39" w14:textId="4D4737E1" w:rsidR="001852C7" w:rsidRPr="0022293F" w:rsidRDefault="00444639" w:rsidP="00444639">
            <w:pPr>
              <w:spacing w:after="120" w:line="276" w:lineRule="auto"/>
              <w:ind w:leftChars="0" w:left="0" w:firstLineChars="0" w:firstLine="0"/>
              <w:jc w:val="both"/>
              <w:rPr>
                <w:sz w:val="24"/>
                <w:szCs w:val="24"/>
                <w:lang w:val="fr-FR"/>
              </w:rPr>
            </w:pPr>
            <w:r w:rsidRPr="0022293F">
              <w:rPr>
                <w:sz w:val="24"/>
                <w:szCs w:val="24"/>
              </w:rPr>
              <w:t>Dự thảo Thông tư đã xin ý kiến Lãnh đạo Bộ xây dựng theo trình tự, thủ tục rút gọn do để sửa đổi cho phù hợp Luật Tổ chức Chính phủ. Nội dung về mẫu chưa xin ý kiến rút gọn, chưa xin ý kiến theo quy trình, thủ tục quy định. Do vậy, đề nghị Cục thực hiện đầy đủ quy định về trình tự, thủ tục và thành phần hồ sơ theo đúng quy định</w:t>
            </w:r>
            <w:r w:rsidRPr="0022293F">
              <w:rPr>
                <w:rStyle w:val="FootnoteReference"/>
                <w:sz w:val="24"/>
                <w:szCs w:val="24"/>
              </w:rPr>
              <w:footnoteReference w:id="1"/>
            </w:r>
            <w:r w:rsidRPr="0022293F">
              <w:rPr>
                <w:sz w:val="24"/>
                <w:szCs w:val="24"/>
              </w:rPr>
              <w:t>.</w:t>
            </w:r>
          </w:p>
        </w:tc>
        <w:tc>
          <w:tcPr>
            <w:tcW w:w="2990" w:type="dxa"/>
          </w:tcPr>
          <w:p w14:paraId="701BC53C" w14:textId="1EFC6942" w:rsidR="001852C7" w:rsidRPr="0022293F" w:rsidRDefault="00444639" w:rsidP="00444639">
            <w:pPr>
              <w:spacing w:after="120" w:line="276" w:lineRule="auto"/>
              <w:ind w:leftChars="0" w:left="0" w:firstLineChars="0" w:firstLine="0"/>
              <w:jc w:val="both"/>
              <w:rPr>
                <w:sz w:val="24"/>
                <w:szCs w:val="24"/>
                <w:lang w:val="fr-FR"/>
              </w:rPr>
            </w:pPr>
            <w:r w:rsidRPr="0022293F">
              <w:rPr>
                <w:bCs/>
                <w:sz w:val="24"/>
                <w:szCs w:val="24"/>
                <w:lang w:val="it-IT"/>
              </w:rPr>
              <w:t>Cục HT&amp;TBYT đã có Phiếu trình số 346/HTTB-ĐKKD ngày 24/10/2025 trình báo cáo Bộ trưởng Tờ trình số 1273/TTr-HTTB ngày 24/10/2025 xin ý kiến về việc đề nghị xây dựng, ban hành Thông tư quy định việc phân cấp thực hiện một số nhiệm vụ, giải quyết một số thủ tục hành chính trong lĩnh vực thiết bị y tế thuộc thẩm quyền của Bộ Y tế và quy định về mẫu văn bản, báo cáo thực hiện quản lý thiết bị y tế được áp dụng trình tự, thủ tục rút gọn</w:t>
            </w:r>
          </w:p>
        </w:tc>
      </w:tr>
      <w:tr w:rsidR="001852C7" w:rsidRPr="0022293F" w14:paraId="792DBCD7" w14:textId="77777777" w:rsidTr="004442BD">
        <w:tc>
          <w:tcPr>
            <w:tcW w:w="1770" w:type="dxa"/>
          </w:tcPr>
          <w:p w14:paraId="35D4B1FE" w14:textId="273E2D2C" w:rsidR="001852C7" w:rsidRPr="0022293F" w:rsidRDefault="0022293F" w:rsidP="00444639">
            <w:pPr>
              <w:spacing w:after="120" w:line="276" w:lineRule="auto"/>
              <w:ind w:leftChars="0" w:left="0" w:firstLineChars="0" w:firstLine="0"/>
              <w:jc w:val="both"/>
              <w:rPr>
                <w:sz w:val="24"/>
                <w:szCs w:val="24"/>
                <w:lang w:val="fr-FR"/>
              </w:rPr>
            </w:pPr>
            <w:r>
              <w:rPr>
                <w:sz w:val="24"/>
                <w:szCs w:val="24"/>
                <w:lang w:val="it-IT"/>
              </w:rPr>
              <w:lastRenderedPageBreak/>
              <w:t>Điều 3.</w:t>
            </w:r>
            <w:r w:rsidR="00997089" w:rsidRPr="0022293F">
              <w:rPr>
                <w:sz w:val="24"/>
                <w:szCs w:val="24"/>
                <w:lang w:val="it-IT"/>
              </w:rPr>
              <w:t xml:space="preserve">Phân cấp thực hiện </w:t>
            </w:r>
            <w:r w:rsidR="00997089" w:rsidRPr="0022293F">
              <w:rPr>
                <w:sz w:val="24"/>
                <w:szCs w:val="24"/>
                <w:lang w:val="vi-VN"/>
              </w:rPr>
              <w:t xml:space="preserve">một số </w:t>
            </w:r>
            <w:r w:rsidR="00997089" w:rsidRPr="0022293F">
              <w:rPr>
                <w:sz w:val="24"/>
                <w:szCs w:val="24"/>
                <w:lang w:val="it-IT"/>
              </w:rPr>
              <w:t>nhiệm vụ thuộc thẩm quyền của Bộ Y tế cho Cục Hạ tầng và Thiết bị y tế</w:t>
            </w:r>
          </w:p>
        </w:tc>
        <w:tc>
          <w:tcPr>
            <w:tcW w:w="1106" w:type="dxa"/>
          </w:tcPr>
          <w:p w14:paraId="3BBD3936" w14:textId="354C0F86" w:rsidR="001852C7" w:rsidRPr="0022293F" w:rsidRDefault="0022293F" w:rsidP="00444639">
            <w:pPr>
              <w:spacing w:after="120" w:line="276" w:lineRule="auto"/>
              <w:ind w:leftChars="0" w:left="0" w:firstLineChars="0" w:firstLine="0"/>
              <w:jc w:val="both"/>
              <w:rPr>
                <w:sz w:val="24"/>
                <w:szCs w:val="24"/>
                <w:lang w:val="fr-FR"/>
              </w:rPr>
            </w:pPr>
            <w:r w:rsidRPr="0022293F">
              <w:rPr>
                <w:bCs/>
                <w:sz w:val="24"/>
                <w:szCs w:val="24"/>
                <w:lang w:val="it-IT"/>
              </w:rPr>
              <w:t>Vụ Pháp chế</w:t>
            </w:r>
          </w:p>
        </w:tc>
        <w:tc>
          <w:tcPr>
            <w:tcW w:w="3627" w:type="dxa"/>
          </w:tcPr>
          <w:p w14:paraId="6548A195" w14:textId="7F2CF1C8" w:rsidR="001852C7" w:rsidRPr="00CB0DFA" w:rsidRDefault="0022293F" w:rsidP="00444639">
            <w:pPr>
              <w:spacing w:after="120" w:line="276" w:lineRule="auto"/>
              <w:ind w:leftChars="0" w:left="0" w:firstLineChars="0" w:firstLine="0"/>
              <w:jc w:val="both"/>
              <w:rPr>
                <w:sz w:val="24"/>
                <w:szCs w:val="24"/>
                <w:lang w:val="fr-FR"/>
              </w:rPr>
            </w:pPr>
            <w:r w:rsidRPr="00CB0DFA">
              <w:rPr>
                <w:bCs/>
                <w:sz w:val="24"/>
                <w:szCs w:val="24"/>
                <w:lang w:val="it-IT"/>
              </w:rPr>
              <w:t>Đề ghị rà soát lại tên Điều và nội dung của Điều. Tên Điều là phân cấp thực hiện nhiệm vụ và giải quyết thủ tục hành chính trong lĩnh vực thiết bị y tế thuộc thẩm quyền quản lý của Bộ Y tế cho Cục Hạ tầng và Thiết bị y tế, tuy nhiên nội dung chưa phân định rõ nhiệm vụ là nhiệm vụ gì? thủ tục hành chính là thủ tục hành chính nào (Khoản 1). Ngoài ra còn bổ sung thêm nhiệm vụ kiểm tra chuyên ngành (Khoản 2). Do vậy, đề nghị sắp xếp lại thành 02 Khoản: 1) Phân cấp thực hiện nhiệm vụ; 2) Phân cấp giải quyết thủ tục hành chính cho chính xác</w:t>
            </w:r>
            <w:r w:rsidRPr="00CB0DFA">
              <w:rPr>
                <w:rStyle w:val="FootnoteReference"/>
                <w:bCs/>
                <w:sz w:val="24"/>
                <w:szCs w:val="24"/>
                <w:lang w:val="it-IT"/>
              </w:rPr>
              <w:footnoteReference w:id="2"/>
            </w:r>
            <w:r w:rsidRPr="00CB0DFA">
              <w:rPr>
                <w:bCs/>
                <w:sz w:val="24"/>
                <w:szCs w:val="24"/>
                <w:lang w:val="it-IT"/>
              </w:rPr>
              <w:t>.</w:t>
            </w:r>
          </w:p>
        </w:tc>
        <w:tc>
          <w:tcPr>
            <w:tcW w:w="2990" w:type="dxa"/>
          </w:tcPr>
          <w:p w14:paraId="751D5011" w14:textId="77777777" w:rsidR="006052A9" w:rsidRPr="006052A9" w:rsidRDefault="006052A9" w:rsidP="006052A9">
            <w:pPr>
              <w:spacing w:line="276" w:lineRule="auto"/>
              <w:ind w:hanging="2"/>
              <w:jc w:val="both"/>
              <w:rPr>
                <w:b/>
                <w:sz w:val="24"/>
                <w:szCs w:val="24"/>
                <w:lang w:val="it-IT"/>
              </w:rPr>
            </w:pPr>
            <w:r w:rsidRPr="006052A9">
              <w:rPr>
                <w:b/>
                <w:sz w:val="24"/>
                <w:szCs w:val="24"/>
                <w:lang w:val="it-IT"/>
              </w:rPr>
              <w:t>Tiếp thu:</w:t>
            </w:r>
          </w:p>
          <w:p w14:paraId="00959F14" w14:textId="77777777" w:rsidR="006052A9" w:rsidRPr="006052A9" w:rsidRDefault="006052A9" w:rsidP="006052A9">
            <w:pPr>
              <w:spacing w:line="276" w:lineRule="auto"/>
              <w:ind w:hanging="2"/>
              <w:jc w:val="both"/>
              <w:rPr>
                <w:bCs/>
                <w:sz w:val="24"/>
                <w:szCs w:val="24"/>
                <w:lang w:val="it-IT"/>
              </w:rPr>
            </w:pPr>
            <w:r w:rsidRPr="006052A9">
              <w:rPr>
                <w:bCs/>
                <w:sz w:val="24"/>
                <w:szCs w:val="24"/>
                <w:lang w:val="it-IT"/>
              </w:rPr>
              <w:t xml:space="preserve">Cục HT&amp;TBYT đã hoàn chỉnh lại dự thảo Thông tư: </w:t>
            </w:r>
          </w:p>
          <w:p w14:paraId="07048255" w14:textId="77777777" w:rsidR="006052A9" w:rsidRPr="006052A9" w:rsidRDefault="006052A9" w:rsidP="006052A9">
            <w:pPr>
              <w:spacing w:line="276" w:lineRule="auto"/>
              <w:ind w:hanging="2"/>
              <w:jc w:val="both"/>
              <w:rPr>
                <w:bCs/>
                <w:sz w:val="24"/>
                <w:szCs w:val="24"/>
                <w:lang w:val="it-IT"/>
              </w:rPr>
            </w:pPr>
            <w:r w:rsidRPr="006052A9">
              <w:rPr>
                <w:bCs/>
                <w:sz w:val="24"/>
                <w:szCs w:val="24"/>
              </w:rPr>
              <w:t>-</w:t>
            </w:r>
            <w:r w:rsidRPr="006052A9">
              <w:rPr>
                <w:bCs/>
                <w:sz w:val="24"/>
                <w:szCs w:val="24"/>
                <w:lang w:val="vi-VN"/>
              </w:rPr>
              <w:t xml:space="preserve"> </w:t>
            </w:r>
            <w:r w:rsidRPr="006052A9">
              <w:rPr>
                <w:bCs/>
                <w:sz w:val="24"/>
                <w:szCs w:val="24"/>
                <w:lang w:val="it-IT"/>
              </w:rPr>
              <w:t>Điều 3. Phân cấp thực hiện một số nhiệm vụ thuộc thẩm quyền của Bộ Y tế cho Cục Hạ tầng và Thiết bị y tế</w:t>
            </w:r>
          </w:p>
          <w:p w14:paraId="2E6BD095" w14:textId="5308B5F8" w:rsidR="001852C7" w:rsidRPr="0022293F" w:rsidRDefault="006052A9" w:rsidP="006052A9">
            <w:pPr>
              <w:spacing w:after="120" w:line="276" w:lineRule="auto"/>
              <w:ind w:leftChars="0" w:left="0" w:firstLineChars="0" w:firstLine="0"/>
              <w:jc w:val="both"/>
              <w:rPr>
                <w:sz w:val="24"/>
                <w:szCs w:val="24"/>
                <w:lang w:val="fr-FR"/>
              </w:rPr>
            </w:pPr>
            <w:r w:rsidRPr="006052A9">
              <w:rPr>
                <w:bCs/>
                <w:sz w:val="24"/>
                <w:szCs w:val="24"/>
                <w:lang w:val="it-IT"/>
              </w:rPr>
              <w:t>- Điều 4. Phân cấp giải quyết một số thủ tục hành chính thuộc thẩm quyền của Bộ Y tế cho Cục Hạ tầng và Thiết bị y tế</w:t>
            </w:r>
          </w:p>
        </w:tc>
      </w:tr>
      <w:tr w:rsidR="00B87CA5" w:rsidRPr="0022293F" w14:paraId="00155849" w14:textId="77777777" w:rsidTr="004442BD">
        <w:tc>
          <w:tcPr>
            <w:tcW w:w="1770" w:type="dxa"/>
          </w:tcPr>
          <w:p w14:paraId="6AB286B4" w14:textId="77777777" w:rsidR="00B87CA5" w:rsidRPr="0022293F" w:rsidRDefault="00B87CA5" w:rsidP="00B87CA5">
            <w:pPr>
              <w:spacing w:after="120" w:line="276" w:lineRule="auto"/>
              <w:ind w:leftChars="0" w:left="0" w:firstLineChars="0" w:firstLine="0"/>
              <w:jc w:val="both"/>
              <w:rPr>
                <w:sz w:val="24"/>
                <w:szCs w:val="24"/>
                <w:lang w:val="fr-FR"/>
              </w:rPr>
            </w:pPr>
          </w:p>
        </w:tc>
        <w:tc>
          <w:tcPr>
            <w:tcW w:w="1106" w:type="dxa"/>
          </w:tcPr>
          <w:p w14:paraId="5DE6984E" w14:textId="4C6288D5" w:rsidR="00B87CA5" w:rsidRPr="00B87CA5" w:rsidRDefault="00B87CA5" w:rsidP="00B87CA5">
            <w:pPr>
              <w:spacing w:after="120" w:line="276" w:lineRule="auto"/>
              <w:ind w:leftChars="0" w:left="0" w:firstLineChars="0" w:firstLine="0"/>
              <w:jc w:val="both"/>
              <w:rPr>
                <w:sz w:val="24"/>
                <w:szCs w:val="24"/>
                <w:lang w:val="fr-FR"/>
              </w:rPr>
            </w:pPr>
            <w:r w:rsidRPr="00B87CA5">
              <w:rPr>
                <w:bCs/>
                <w:sz w:val="24"/>
                <w:szCs w:val="24"/>
                <w:lang w:val="it-IT"/>
              </w:rPr>
              <w:t>Sở Y tế Bắc Ninh</w:t>
            </w:r>
          </w:p>
        </w:tc>
        <w:tc>
          <w:tcPr>
            <w:tcW w:w="3627" w:type="dxa"/>
          </w:tcPr>
          <w:p w14:paraId="726DDE45" w14:textId="7B281E87" w:rsidR="00B87CA5" w:rsidRPr="00B87CA5" w:rsidRDefault="00B87CA5" w:rsidP="00B87CA5">
            <w:pPr>
              <w:spacing w:after="120" w:line="276" w:lineRule="auto"/>
              <w:ind w:leftChars="0" w:left="0" w:firstLineChars="0" w:firstLine="0"/>
              <w:jc w:val="both"/>
              <w:rPr>
                <w:sz w:val="24"/>
                <w:szCs w:val="24"/>
                <w:lang w:val="fr-FR"/>
              </w:rPr>
            </w:pPr>
            <w:r w:rsidRPr="00B87CA5">
              <w:rPr>
                <w:bCs/>
                <w:sz w:val="24"/>
                <w:szCs w:val="24"/>
                <w:lang w:val="it-IT"/>
              </w:rPr>
              <w:t xml:space="preserve">Hiện chưa có quy định cụ thể về “Hậu kiểm” trong các văn bản quy phạm pháp luật. Đề nghị Bộ Y tế xem xét thay thế cụm từ </w:t>
            </w:r>
            <w:r w:rsidRPr="00B87CA5">
              <w:rPr>
                <w:bCs/>
                <w:i/>
                <w:iCs/>
                <w:sz w:val="24"/>
                <w:szCs w:val="24"/>
                <w:lang w:val="it-IT"/>
              </w:rPr>
              <w:t xml:space="preserve">“Hậu kiểm” </w:t>
            </w:r>
            <w:r w:rsidRPr="00B87CA5">
              <w:rPr>
                <w:bCs/>
                <w:sz w:val="24"/>
                <w:szCs w:val="24"/>
                <w:lang w:val="it-IT"/>
              </w:rPr>
              <w:t xml:space="preserve">bằng </w:t>
            </w:r>
            <w:r w:rsidRPr="00B87CA5">
              <w:rPr>
                <w:bCs/>
                <w:i/>
                <w:iCs/>
                <w:sz w:val="24"/>
                <w:szCs w:val="24"/>
                <w:lang w:val="it-IT"/>
              </w:rPr>
              <w:t>“Kiểm tra”</w:t>
            </w:r>
            <w:r w:rsidRPr="00B87CA5">
              <w:rPr>
                <w:bCs/>
                <w:sz w:val="24"/>
                <w:szCs w:val="24"/>
                <w:lang w:val="it-IT"/>
              </w:rPr>
              <w:t>; hoặc xem xét gộp chung Khoản 1 vào Khoản 9 Điều 3 dự thảo Thông tư.</w:t>
            </w:r>
          </w:p>
        </w:tc>
        <w:tc>
          <w:tcPr>
            <w:tcW w:w="2990" w:type="dxa"/>
          </w:tcPr>
          <w:p w14:paraId="4D28285D" w14:textId="77777777" w:rsidR="00B87CA5" w:rsidRPr="00B87CA5" w:rsidRDefault="00B87CA5" w:rsidP="00B87CA5">
            <w:pPr>
              <w:spacing w:line="276" w:lineRule="auto"/>
              <w:ind w:hanging="2"/>
              <w:jc w:val="both"/>
              <w:rPr>
                <w:b/>
                <w:sz w:val="24"/>
                <w:szCs w:val="24"/>
                <w:lang w:val="it-IT"/>
              </w:rPr>
            </w:pPr>
            <w:r w:rsidRPr="00B87CA5">
              <w:rPr>
                <w:b/>
                <w:sz w:val="24"/>
                <w:szCs w:val="24"/>
                <w:lang w:val="it-IT"/>
              </w:rPr>
              <w:t>Giữ nguyên như dự thảo</w:t>
            </w:r>
          </w:p>
          <w:p w14:paraId="18A1536D" w14:textId="77777777" w:rsidR="00B87CA5" w:rsidRPr="00B87CA5" w:rsidRDefault="00B87CA5" w:rsidP="00B87CA5">
            <w:pPr>
              <w:spacing w:line="276" w:lineRule="auto"/>
              <w:ind w:hanging="2"/>
              <w:jc w:val="both"/>
              <w:rPr>
                <w:bCs/>
                <w:sz w:val="24"/>
                <w:szCs w:val="24"/>
                <w:lang w:val="it-IT"/>
              </w:rPr>
            </w:pPr>
            <w:r w:rsidRPr="00B87CA5">
              <w:rPr>
                <w:bCs/>
                <w:sz w:val="24"/>
                <w:szCs w:val="24"/>
                <w:lang w:val="it-IT"/>
              </w:rPr>
              <w:t>- Vì hiện nay theo quy định tại Điều 32 Nghị định số 98/2021/NĐ-CP</w:t>
            </w:r>
            <w:r w:rsidRPr="00B87CA5">
              <w:rPr>
                <w:bCs/>
                <w:sz w:val="24"/>
                <w:szCs w:val="24"/>
                <w:lang w:val="vi-VN"/>
              </w:rPr>
              <w:t>:</w:t>
            </w:r>
            <w:r w:rsidRPr="00B87CA5">
              <w:rPr>
                <w:rFonts w:ascii="Arial" w:hAnsi="Arial" w:cs="Arial"/>
                <w:sz w:val="24"/>
                <w:szCs w:val="24"/>
                <w:shd w:val="clear" w:color="auto" w:fill="FFFFFF"/>
              </w:rPr>
              <w:t xml:space="preserve"> </w:t>
            </w:r>
            <w:r w:rsidRPr="00B87CA5">
              <w:rPr>
                <w:bCs/>
                <w:sz w:val="24"/>
                <w:szCs w:val="24"/>
                <w:lang w:val="it-IT"/>
              </w:rPr>
              <w:t>Bộ Y tế thực hiện hậu kiểm hồ sơ kỹ thuật sau khi cấp số lưu hành thiết bị y tế đối với trường hợp cấp nhanh, cấp khẩn cấp.</w:t>
            </w:r>
          </w:p>
          <w:p w14:paraId="7BF4F985" w14:textId="000A35B2" w:rsidR="00B87CA5" w:rsidRPr="00B87CA5" w:rsidRDefault="00B87CA5" w:rsidP="00B87CA5">
            <w:pPr>
              <w:spacing w:after="120" w:line="276" w:lineRule="auto"/>
              <w:ind w:leftChars="0" w:left="0" w:firstLineChars="0" w:firstLine="0"/>
              <w:jc w:val="both"/>
              <w:rPr>
                <w:sz w:val="24"/>
                <w:szCs w:val="24"/>
                <w:lang w:val="fr-FR"/>
              </w:rPr>
            </w:pPr>
            <w:r w:rsidRPr="00B87CA5">
              <w:rPr>
                <w:bCs/>
                <w:sz w:val="24"/>
                <w:szCs w:val="24"/>
                <w:lang w:val="it-IT"/>
              </w:rPr>
              <w:t>- Cục HT&amp;TBYT ghi nhận ý kiến góp ý và sẽ tiếp thu khi sửa đổi Nghị định số 98/2021/NĐ-CP.</w:t>
            </w:r>
          </w:p>
        </w:tc>
      </w:tr>
      <w:tr w:rsidR="00625F15" w:rsidRPr="0022293F" w14:paraId="106C8E83" w14:textId="77777777" w:rsidTr="004442BD">
        <w:tc>
          <w:tcPr>
            <w:tcW w:w="1770" w:type="dxa"/>
          </w:tcPr>
          <w:p w14:paraId="4DE88A76" w14:textId="77777777" w:rsidR="00625F15" w:rsidRPr="0022293F" w:rsidRDefault="00625F15" w:rsidP="00625F15">
            <w:pPr>
              <w:spacing w:after="120" w:line="276" w:lineRule="auto"/>
              <w:ind w:leftChars="0" w:left="0" w:firstLineChars="0" w:firstLine="0"/>
              <w:jc w:val="both"/>
              <w:rPr>
                <w:sz w:val="24"/>
                <w:szCs w:val="24"/>
                <w:lang w:val="fr-FR"/>
              </w:rPr>
            </w:pPr>
          </w:p>
        </w:tc>
        <w:tc>
          <w:tcPr>
            <w:tcW w:w="1106" w:type="dxa"/>
          </w:tcPr>
          <w:p w14:paraId="6D14B592" w14:textId="028F7F4D" w:rsidR="00625F15" w:rsidRPr="00625F15" w:rsidRDefault="00625F15" w:rsidP="00625F15">
            <w:pPr>
              <w:spacing w:after="120" w:line="276" w:lineRule="auto"/>
              <w:ind w:leftChars="0" w:left="0" w:firstLineChars="0" w:firstLine="0"/>
              <w:jc w:val="both"/>
              <w:rPr>
                <w:sz w:val="24"/>
                <w:szCs w:val="24"/>
                <w:lang w:val="fr-FR"/>
              </w:rPr>
            </w:pPr>
            <w:r w:rsidRPr="00625F15">
              <w:rPr>
                <w:bCs/>
                <w:sz w:val="24"/>
                <w:szCs w:val="24"/>
                <w:lang w:val="it-IT"/>
              </w:rPr>
              <w:t>Sở Y tế Đà Nẵng</w:t>
            </w:r>
          </w:p>
        </w:tc>
        <w:tc>
          <w:tcPr>
            <w:tcW w:w="3627" w:type="dxa"/>
          </w:tcPr>
          <w:p w14:paraId="56134DDD" w14:textId="77777777" w:rsidR="00625F15" w:rsidRPr="00625F15" w:rsidRDefault="00625F15" w:rsidP="00625F15">
            <w:pPr>
              <w:ind w:hanging="2"/>
              <w:rPr>
                <w:sz w:val="24"/>
                <w:szCs w:val="24"/>
              </w:rPr>
            </w:pPr>
            <w:r w:rsidRPr="00625F15">
              <w:rPr>
                <w:sz w:val="24"/>
                <w:szCs w:val="24"/>
              </w:rPr>
              <w:t>Đề xuất bổ sung nội dung:</w:t>
            </w:r>
          </w:p>
          <w:p w14:paraId="4E868E4F" w14:textId="3D9F0D86" w:rsidR="00625F15" w:rsidRPr="00625F15" w:rsidRDefault="00625F15" w:rsidP="00625F15">
            <w:pPr>
              <w:spacing w:after="120" w:line="276" w:lineRule="auto"/>
              <w:ind w:leftChars="0" w:left="0" w:firstLineChars="0" w:firstLine="0"/>
              <w:jc w:val="both"/>
              <w:rPr>
                <w:sz w:val="24"/>
                <w:szCs w:val="24"/>
                <w:lang w:val="fr-FR"/>
              </w:rPr>
            </w:pPr>
            <w:r w:rsidRPr="00625F15">
              <w:rPr>
                <w:sz w:val="24"/>
                <w:szCs w:val="24"/>
              </w:rPr>
              <w:t>- Thu hồi kết quả phân loại thiết bị y tế loại C, D theo quy định tại Điều 6 Nghị định số 98/2021/NĐ-CP.</w:t>
            </w:r>
          </w:p>
        </w:tc>
        <w:tc>
          <w:tcPr>
            <w:tcW w:w="2990" w:type="dxa"/>
          </w:tcPr>
          <w:p w14:paraId="19D6B04A" w14:textId="77777777" w:rsidR="00625F15" w:rsidRPr="00625F15" w:rsidRDefault="00625F15" w:rsidP="00625F15">
            <w:pPr>
              <w:spacing w:line="276" w:lineRule="auto"/>
              <w:ind w:hanging="2"/>
              <w:jc w:val="both"/>
              <w:rPr>
                <w:b/>
                <w:sz w:val="24"/>
                <w:szCs w:val="24"/>
                <w:lang w:val="it-IT"/>
              </w:rPr>
            </w:pPr>
            <w:r w:rsidRPr="00625F15">
              <w:rPr>
                <w:b/>
                <w:sz w:val="24"/>
                <w:szCs w:val="24"/>
                <w:lang w:val="it-IT"/>
              </w:rPr>
              <w:t>Giữ nguyên như dự thảo</w:t>
            </w:r>
          </w:p>
          <w:p w14:paraId="1B0E58AC" w14:textId="5C35BBDB" w:rsidR="00625F15" w:rsidRPr="00625F15" w:rsidRDefault="00625F15" w:rsidP="00625F15">
            <w:pPr>
              <w:spacing w:after="120" w:line="276" w:lineRule="auto"/>
              <w:ind w:leftChars="0" w:left="0" w:firstLineChars="0" w:firstLine="0"/>
              <w:jc w:val="both"/>
              <w:rPr>
                <w:sz w:val="24"/>
                <w:szCs w:val="24"/>
                <w:lang w:val="fr-FR"/>
              </w:rPr>
            </w:pPr>
            <w:r w:rsidRPr="00625F15">
              <w:rPr>
                <w:bCs/>
                <w:sz w:val="24"/>
                <w:szCs w:val="24"/>
                <w:lang w:val="it-IT"/>
              </w:rPr>
              <w:t>Vì hiện nay theo quy định tại Điều 23 Nghị định số 148/2025/NĐ-CP</w:t>
            </w:r>
            <w:r w:rsidRPr="00625F15">
              <w:rPr>
                <w:bCs/>
                <w:sz w:val="24"/>
                <w:szCs w:val="24"/>
                <w:lang w:val="vi-VN"/>
              </w:rPr>
              <w:t>:</w:t>
            </w:r>
            <w:r w:rsidRPr="00625F15">
              <w:rPr>
                <w:bCs/>
                <w:sz w:val="24"/>
                <w:szCs w:val="24"/>
                <w:lang w:val="it-IT"/>
              </w:rPr>
              <w:t xml:space="preserve"> </w:t>
            </w:r>
            <w:r w:rsidRPr="00625F15">
              <w:rPr>
                <w:bCs/>
                <w:sz w:val="24"/>
                <w:szCs w:val="24"/>
                <w:lang w:val="vi-VN"/>
              </w:rPr>
              <w:t>V</w:t>
            </w:r>
            <w:r w:rsidRPr="00625F15">
              <w:rPr>
                <w:bCs/>
                <w:sz w:val="24"/>
                <w:szCs w:val="24"/>
                <w:lang w:val="it-IT"/>
              </w:rPr>
              <w:t xml:space="preserve">iệc thu hồi kết quả phân loại thiết bị y tế do </w:t>
            </w:r>
            <w:r w:rsidRPr="00625F15">
              <w:rPr>
                <w:bCs/>
                <w:sz w:val="24"/>
                <w:szCs w:val="24"/>
                <w:lang w:val="vi-VN"/>
              </w:rPr>
              <w:t>n</w:t>
            </w:r>
            <w:r w:rsidRPr="00625F15">
              <w:rPr>
                <w:bCs/>
                <w:sz w:val="24"/>
                <w:szCs w:val="24"/>
                <w:lang w:val="it-IT"/>
              </w:rPr>
              <w:t>gười đứng đầu cơ quan chuyên môn về y tế thuộc Ủy ban nhân dân cấp tỉnh thực hiện.</w:t>
            </w:r>
          </w:p>
        </w:tc>
      </w:tr>
      <w:tr w:rsidR="00CB6715" w:rsidRPr="0022293F" w14:paraId="60D7B119" w14:textId="77777777" w:rsidTr="004442BD">
        <w:tc>
          <w:tcPr>
            <w:tcW w:w="1770" w:type="dxa"/>
          </w:tcPr>
          <w:p w14:paraId="2FA3EAC4" w14:textId="482E0334" w:rsidR="00CB6715" w:rsidRPr="0022293F" w:rsidRDefault="00CB6715" w:rsidP="00CB6715">
            <w:pPr>
              <w:spacing w:after="120" w:line="276" w:lineRule="auto"/>
              <w:ind w:leftChars="0" w:left="0" w:firstLineChars="0" w:firstLine="0"/>
              <w:jc w:val="both"/>
              <w:rPr>
                <w:sz w:val="24"/>
                <w:szCs w:val="24"/>
                <w:lang w:val="fr-FR"/>
              </w:rPr>
            </w:pPr>
            <w:r>
              <w:rPr>
                <w:sz w:val="24"/>
                <w:szCs w:val="24"/>
                <w:lang w:val="it-IT"/>
              </w:rPr>
              <w:t>Điều 4.</w:t>
            </w:r>
            <w:r w:rsidRPr="00447D8A">
              <w:rPr>
                <w:sz w:val="24"/>
                <w:szCs w:val="24"/>
                <w:lang w:val="it-IT"/>
              </w:rPr>
              <w:t xml:space="preserve">Phân cấp giải quyết một số thủ tục hành chính thuộc thẩm quyền của Bộ Y tế cho Cục </w:t>
            </w:r>
            <w:r w:rsidRPr="00447D8A">
              <w:rPr>
                <w:sz w:val="24"/>
                <w:szCs w:val="24"/>
                <w:lang w:val="it-IT"/>
              </w:rPr>
              <w:lastRenderedPageBreak/>
              <w:t>Hạ tầng và Thiết bị y tế</w:t>
            </w:r>
          </w:p>
        </w:tc>
        <w:tc>
          <w:tcPr>
            <w:tcW w:w="1106" w:type="dxa"/>
          </w:tcPr>
          <w:p w14:paraId="3E723D5E" w14:textId="04333CBB" w:rsidR="00CB6715" w:rsidRPr="00CB6715" w:rsidRDefault="00CB6715" w:rsidP="00CB6715">
            <w:pPr>
              <w:spacing w:after="120" w:line="276" w:lineRule="auto"/>
              <w:ind w:leftChars="0" w:left="0" w:firstLineChars="0" w:firstLine="0"/>
              <w:jc w:val="both"/>
              <w:rPr>
                <w:sz w:val="24"/>
                <w:szCs w:val="24"/>
                <w:lang w:val="fr-FR"/>
              </w:rPr>
            </w:pPr>
            <w:r w:rsidRPr="00CB6715">
              <w:rPr>
                <w:bCs/>
                <w:sz w:val="24"/>
                <w:szCs w:val="24"/>
                <w:lang w:val="it-IT"/>
              </w:rPr>
              <w:lastRenderedPageBreak/>
              <w:t>Văn phòng Bộ</w:t>
            </w:r>
          </w:p>
        </w:tc>
        <w:tc>
          <w:tcPr>
            <w:tcW w:w="3627" w:type="dxa"/>
          </w:tcPr>
          <w:p w14:paraId="2E2F1F8C" w14:textId="77777777" w:rsidR="00CB6715" w:rsidRPr="00CB6715" w:rsidRDefault="00CB6715" w:rsidP="00CB6715">
            <w:pPr>
              <w:ind w:hanging="2"/>
              <w:rPr>
                <w:sz w:val="24"/>
                <w:szCs w:val="24"/>
              </w:rPr>
            </w:pPr>
            <w:r w:rsidRPr="00CB6715">
              <w:rPr>
                <w:sz w:val="24"/>
                <w:szCs w:val="24"/>
              </w:rPr>
              <w:t>Đề nghị bỏ phần:</w:t>
            </w:r>
          </w:p>
          <w:p w14:paraId="60DA050A" w14:textId="77777777" w:rsidR="00CB6715" w:rsidRPr="00CB6715" w:rsidRDefault="00CB6715" w:rsidP="00CB6715">
            <w:pPr>
              <w:ind w:hanging="2"/>
              <w:rPr>
                <w:i/>
                <w:iCs/>
                <w:sz w:val="24"/>
                <w:szCs w:val="24"/>
              </w:rPr>
            </w:pPr>
            <w:r w:rsidRPr="00CB6715">
              <w:rPr>
                <w:i/>
                <w:iCs/>
                <w:sz w:val="24"/>
                <w:szCs w:val="24"/>
              </w:rPr>
              <w:t>“Phân cấp giải quyết thủ tục hành chính Bộ Y tế được giao tại Nghị định số 98/2021/NĐ-CP, Nghị định số 07/2023/NĐ-CP và Nghị định số 42/2025/NĐ- CP, bao gồm:..”</w:t>
            </w:r>
          </w:p>
          <w:p w14:paraId="27003FE7" w14:textId="77777777" w:rsidR="00CB6715" w:rsidRPr="00CB6715" w:rsidRDefault="00CB6715" w:rsidP="00CB6715">
            <w:pPr>
              <w:ind w:hanging="2"/>
              <w:rPr>
                <w:sz w:val="24"/>
                <w:szCs w:val="24"/>
              </w:rPr>
            </w:pPr>
            <w:r w:rsidRPr="00CB6715">
              <w:rPr>
                <w:sz w:val="24"/>
                <w:szCs w:val="24"/>
              </w:rPr>
              <w:t>Hoặc sửa như sau:</w:t>
            </w:r>
          </w:p>
          <w:p w14:paraId="3FA902A9" w14:textId="4FA050A4" w:rsidR="00CB6715" w:rsidRPr="00CB6715" w:rsidRDefault="00CB6715" w:rsidP="00CB6715">
            <w:pPr>
              <w:spacing w:after="120" w:line="276" w:lineRule="auto"/>
              <w:ind w:leftChars="0" w:left="0" w:firstLineChars="0" w:firstLine="0"/>
              <w:jc w:val="both"/>
              <w:rPr>
                <w:sz w:val="24"/>
                <w:szCs w:val="24"/>
                <w:lang w:val="fr-FR"/>
              </w:rPr>
            </w:pPr>
            <w:r w:rsidRPr="00CB6715">
              <w:rPr>
                <w:i/>
                <w:iCs/>
                <w:sz w:val="24"/>
                <w:szCs w:val="24"/>
              </w:rPr>
              <w:lastRenderedPageBreak/>
              <w:t>“Phân cấp giải quyết các thủ tục hành chính quy định tại Nghị định số 98/2021/NĐ-CP, Nghị định số 07/2023/NĐ-CP, Nghị định số 42/2025/NĐ-CP và Thông tư này, bao gồm:..”</w:t>
            </w:r>
            <w:r w:rsidRPr="00CB6715">
              <w:rPr>
                <w:rStyle w:val="FootnoteReference"/>
                <w:i/>
                <w:iCs/>
                <w:sz w:val="24"/>
                <w:szCs w:val="24"/>
              </w:rPr>
              <w:footnoteReference w:id="3"/>
            </w:r>
          </w:p>
        </w:tc>
        <w:tc>
          <w:tcPr>
            <w:tcW w:w="2990" w:type="dxa"/>
          </w:tcPr>
          <w:p w14:paraId="175931F5" w14:textId="77777777" w:rsidR="00CB6715" w:rsidRPr="00CB6715" w:rsidRDefault="00CB6715" w:rsidP="00CB6715">
            <w:pPr>
              <w:spacing w:line="276" w:lineRule="auto"/>
              <w:ind w:hanging="2"/>
              <w:jc w:val="both"/>
              <w:rPr>
                <w:b/>
                <w:sz w:val="24"/>
                <w:szCs w:val="24"/>
                <w:lang w:val="it-IT"/>
              </w:rPr>
            </w:pPr>
            <w:r w:rsidRPr="00CB6715">
              <w:rPr>
                <w:b/>
                <w:sz w:val="24"/>
                <w:szCs w:val="24"/>
                <w:lang w:val="it-IT"/>
              </w:rPr>
              <w:lastRenderedPageBreak/>
              <w:t>Tiếp thu:</w:t>
            </w:r>
          </w:p>
          <w:p w14:paraId="53DE4604" w14:textId="77777777" w:rsidR="00CB6715" w:rsidRPr="00CB6715" w:rsidRDefault="00CB6715" w:rsidP="00CB6715">
            <w:pPr>
              <w:spacing w:line="276" w:lineRule="auto"/>
              <w:ind w:hanging="2"/>
              <w:jc w:val="both"/>
              <w:rPr>
                <w:bCs/>
                <w:sz w:val="24"/>
                <w:szCs w:val="24"/>
                <w:lang w:val="it-IT"/>
              </w:rPr>
            </w:pPr>
            <w:r w:rsidRPr="00CB6715">
              <w:rPr>
                <w:bCs/>
                <w:sz w:val="24"/>
                <w:szCs w:val="24"/>
                <w:lang w:val="it-IT"/>
              </w:rPr>
              <w:t>Cục HT&amp;TBYT bỏ nội dung này tại Điều 4 dự thảo Thông tư</w:t>
            </w:r>
          </w:p>
          <w:p w14:paraId="51D7DA1F" w14:textId="77777777" w:rsidR="00CB6715" w:rsidRPr="00CB6715" w:rsidRDefault="00CB6715" w:rsidP="00CB6715">
            <w:pPr>
              <w:spacing w:after="120" w:line="276" w:lineRule="auto"/>
              <w:ind w:leftChars="0" w:left="0" w:firstLineChars="0" w:firstLine="0"/>
              <w:jc w:val="both"/>
              <w:rPr>
                <w:sz w:val="24"/>
                <w:szCs w:val="24"/>
                <w:lang w:val="fr-FR"/>
              </w:rPr>
            </w:pPr>
          </w:p>
        </w:tc>
      </w:tr>
      <w:tr w:rsidR="004442BD" w:rsidRPr="0022293F" w14:paraId="64C60226" w14:textId="77777777" w:rsidTr="004442BD">
        <w:tc>
          <w:tcPr>
            <w:tcW w:w="1770" w:type="dxa"/>
          </w:tcPr>
          <w:p w14:paraId="4DB2041E" w14:textId="6A05ABFB" w:rsidR="004442BD" w:rsidRPr="0022293F" w:rsidRDefault="004442BD" w:rsidP="004442BD">
            <w:pPr>
              <w:spacing w:after="120" w:line="276" w:lineRule="auto"/>
              <w:ind w:leftChars="0" w:left="0" w:firstLineChars="0" w:firstLine="0"/>
              <w:jc w:val="both"/>
              <w:rPr>
                <w:sz w:val="24"/>
                <w:szCs w:val="24"/>
                <w:lang w:val="fr-FR"/>
              </w:rPr>
            </w:pPr>
            <w:r w:rsidRPr="00172806">
              <w:rPr>
                <w:sz w:val="24"/>
                <w:szCs w:val="24"/>
                <w:lang w:val="it-IT"/>
              </w:rPr>
              <w:t>Điều 5. Mẫu văn bản, báo cáo thực hiện Nghị định số </w:t>
            </w:r>
            <w:hyperlink r:id="rId9" w:tgtFrame="_blank" w:tooltip="Nghị định 98/2021/NĐ-CP" w:history="1">
              <w:r w:rsidRPr="00172806">
                <w:rPr>
                  <w:sz w:val="24"/>
                  <w:szCs w:val="24"/>
                  <w:lang w:val="it-IT"/>
                </w:rPr>
                <w:t>98/2021/NĐ-CP</w:t>
              </w:r>
            </w:hyperlink>
            <w:r w:rsidRPr="00172806">
              <w:rPr>
                <w:sz w:val="24"/>
                <w:szCs w:val="24"/>
                <w:lang w:val="it-IT"/>
              </w:rPr>
              <w:t> ngày 08 tháng 11 năm 2021 của Chính phủ về quản lý thiết bị y tế</w:t>
            </w:r>
          </w:p>
        </w:tc>
        <w:tc>
          <w:tcPr>
            <w:tcW w:w="1106" w:type="dxa"/>
          </w:tcPr>
          <w:p w14:paraId="4154CC4A" w14:textId="169562EA" w:rsidR="004442BD" w:rsidRPr="004442BD" w:rsidRDefault="004442BD" w:rsidP="004442BD">
            <w:pPr>
              <w:spacing w:after="120" w:line="276" w:lineRule="auto"/>
              <w:ind w:leftChars="0" w:left="0" w:firstLineChars="0" w:firstLine="0"/>
              <w:jc w:val="both"/>
              <w:rPr>
                <w:sz w:val="24"/>
                <w:szCs w:val="24"/>
                <w:lang w:val="fr-FR"/>
              </w:rPr>
            </w:pPr>
            <w:r w:rsidRPr="004442BD">
              <w:rPr>
                <w:bCs/>
                <w:sz w:val="24"/>
                <w:szCs w:val="24"/>
                <w:lang w:val="it-IT"/>
              </w:rPr>
              <w:t>Văn phòng Bộ</w:t>
            </w:r>
          </w:p>
        </w:tc>
        <w:tc>
          <w:tcPr>
            <w:tcW w:w="3627" w:type="dxa"/>
          </w:tcPr>
          <w:p w14:paraId="24FBF326" w14:textId="77777777" w:rsidR="004442BD" w:rsidRPr="004442BD" w:rsidRDefault="004442BD" w:rsidP="004442BD">
            <w:pPr>
              <w:spacing w:line="276" w:lineRule="auto"/>
              <w:ind w:hanging="2"/>
              <w:jc w:val="both"/>
              <w:rPr>
                <w:sz w:val="24"/>
                <w:szCs w:val="24"/>
                <w:lang w:val="fr-FR"/>
              </w:rPr>
            </w:pPr>
            <w:r w:rsidRPr="004442BD">
              <w:rPr>
                <w:sz w:val="24"/>
                <w:szCs w:val="24"/>
                <w:lang w:val="fr-FR"/>
              </w:rPr>
              <w:t>Dự thảo Thông tư quy định thủ tục hành chính (TTHC) về đăng ký lưu hành thiết bị y tế, cấp phép nhập khẩu, cấp giấy chứng nhận lưu hành tự do thiết bị y tế,…Việc phân cấp giải quyết đối với các TTHC trên đòi hỏi cần phải sửa đổi bổ sung các biểu mẫu kết quả giải quyết TTHC, ví dụ : mẫu Giấy chứng nhận đăng ký lưu hành, mẫu giấy phép nhập khẩu…(các biểu mẫu kết quả giải quyết TTHC quy định tại Thông tư số 19/2021/TT-BYT được sửa đổi bổ sung tại Thông tư số 10/2023/TT-BYT)</w:t>
            </w:r>
          </w:p>
          <w:p w14:paraId="6D2E011B" w14:textId="70ABC1EF" w:rsidR="004442BD" w:rsidRPr="004442BD" w:rsidRDefault="004442BD" w:rsidP="004442BD">
            <w:pPr>
              <w:spacing w:after="120" w:line="276" w:lineRule="auto"/>
              <w:ind w:leftChars="0" w:left="0" w:firstLineChars="0" w:firstLine="0"/>
              <w:jc w:val="both"/>
              <w:rPr>
                <w:sz w:val="24"/>
                <w:szCs w:val="24"/>
                <w:lang w:val="fr-FR"/>
              </w:rPr>
            </w:pPr>
            <w:r w:rsidRPr="004442BD">
              <w:rPr>
                <w:sz w:val="24"/>
                <w:szCs w:val="24"/>
                <w:lang w:val="fr-FR"/>
              </w:rPr>
              <w:t>Nghiên cứu, bổ sung các nội dung về sửa đổi các biểu mẫu tại Thông tư số 19/2021/TT-BYT và Thông tư số 10/2023/TT-BYT; đồng thời bổ sung báo cáo đánh giá tác động TTHC theo quy định của pháp luật về kiểm soát TTHC</w:t>
            </w:r>
            <w:r w:rsidRPr="004442BD">
              <w:rPr>
                <w:rStyle w:val="FootnoteReference"/>
                <w:sz w:val="24"/>
                <w:szCs w:val="24"/>
                <w:lang w:val="fr-FR"/>
              </w:rPr>
              <w:footnoteReference w:id="4"/>
            </w:r>
            <w:r w:rsidRPr="004442BD">
              <w:rPr>
                <w:sz w:val="24"/>
                <w:szCs w:val="24"/>
                <w:lang w:val="fr-FR"/>
              </w:rPr>
              <w:t xml:space="preserve"> </w:t>
            </w:r>
          </w:p>
        </w:tc>
        <w:tc>
          <w:tcPr>
            <w:tcW w:w="2990" w:type="dxa"/>
          </w:tcPr>
          <w:p w14:paraId="40A1437A" w14:textId="77777777" w:rsidR="004442BD" w:rsidRPr="004442BD" w:rsidRDefault="004442BD" w:rsidP="004442BD">
            <w:pPr>
              <w:spacing w:line="276" w:lineRule="auto"/>
              <w:ind w:hanging="2"/>
              <w:jc w:val="both"/>
              <w:rPr>
                <w:b/>
                <w:sz w:val="24"/>
                <w:szCs w:val="24"/>
                <w:lang w:val="it-IT"/>
              </w:rPr>
            </w:pPr>
            <w:r w:rsidRPr="004442BD">
              <w:rPr>
                <w:b/>
                <w:sz w:val="24"/>
                <w:szCs w:val="24"/>
                <w:lang w:val="it-IT"/>
              </w:rPr>
              <w:t>Tiếp thu</w:t>
            </w:r>
          </w:p>
          <w:p w14:paraId="05A6792A" w14:textId="77777777" w:rsidR="004442BD" w:rsidRPr="004442BD" w:rsidRDefault="004442BD" w:rsidP="004442BD">
            <w:pPr>
              <w:spacing w:line="276" w:lineRule="auto"/>
              <w:ind w:hanging="2"/>
              <w:jc w:val="both"/>
              <w:rPr>
                <w:bCs/>
                <w:sz w:val="24"/>
                <w:szCs w:val="24"/>
                <w:lang w:val="it-IT"/>
              </w:rPr>
            </w:pPr>
            <w:r w:rsidRPr="004442BD">
              <w:rPr>
                <w:bCs/>
                <w:sz w:val="24"/>
                <w:szCs w:val="24"/>
                <w:lang w:val="it-IT"/>
              </w:rPr>
              <w:t xml:space="preserve"> Cục HT&amp;TBYT đã </w:t>
            </w:r>
            <w:r w:rsidRPr="004442BD">
              <w:rPr>
                <w:bCs/>
                <w:sz w:val="24"/>
                <w:szCs w:val="24"/>
                <w:lang w:val="vi-VN"/>
              </w:rPr>
              <w:t xml:space="preserve">bổ sung các biểu mẫu, </w:t>
            </w:r>
            <w:r w:rsidRPr="004442BD">
              <w:rPr>
                <w:bCs/>
                <w:sz w:val="24"/>
                <w:szCs w:val="24"/>
                <w:lang w:val="it-IT"/>
              </w:rPr>
              <w:t xml:space="preserve">hoàn chỉnh lại dự thảo Thông tư: </w:t>
            </w:r>
          </w:p>
          <w:p w14:paraId="5E82EB91" w14:textId="77777777" w:rsidR="004442BD" w:rsidRPr="004442BD" w:rsidRDefault="004442BD" w:rsidP="004442BD">
            <w:pPr>
              <w:shd w:val="clear" w:color="auto" w:fill="FFFFFF"/>
              <w:spacing w:line="276" w:lineRule="auto"/>
              <w:ind w:hanging="2"/>
              <w:jc w:val="both"/>
              <w:rPr>
                <w:bCs/>
                <w:sz w:val="24"/>
                <w:szCs w:val="24"/>
                <w:lang w:val="it-IT"/>
              </w:rPr>
            </w:pPr>
            <w:r w:rsidRPr="004442BD">
              <w:rPr>
                <w:bCs/>
                <w:sz w:val="24"/>
                <w:szCs w:val="24"/>
                <w:lang w:val="vi-VN"/>
              </w:rPr>
              <w:t xml:space="preserve">- </w:t>
            </w:r>
            <w:r w:rsidRPr="004442BD">
              <w:rPr>
                <w:bCs/>
                <w:sz w:val="24"/>
                <w:szCs w:val="24"/>
                <w:lang w:val="it-IT"/>
              </w:rPr>
              <w:t>Điều 5. Mẫu văn bản, báo cáo thực hiện Nghị định số </w:t>
            </w:r>
            <w:hyperlink r:id="rId10" w:tgtFrame="_blank" w:tooltip="Nghị định 98/2021/NĐ-CP" w:history="1">
              <w:r w:rsidRPr="004442BD">
                <w:rPr>
                  <w:bCs/>
                  <w:sz w:val="24"/>
                  <w:szCs w:val="24"/>
                  <w:lang w:val="it-IT"/>
                </w:rPr>
                <w:t>98/2021/NĐ-CP</w:t>
              </w:r>
            </w:hyperlink>
            <w:r w:rsidRPr="004442BD">
              <w:rPr>
                <w:bCs/>
                <w:sz w:val="24"/>
                <w:szCs w:val="24"/>
                <w:lang w:val="it-IT"/>
              </w:rPr>
              <w:t xml:space="preserve"> ngày 08 tháng 11 năm 2021 của Chính phủ về quản lý thiết bị y tế </w:t>
            </w:r>
          </w:p>
          <w:p w14:paraId="18ED5AED" w14:textId="77777777" w:rsidR="004442BD" w:rsidRPr="004442BD" w:rsidRDefault="004442BD" w:rsidP="004442BD">
            <w:pPr>
              <w:spacing w:after="120" w:line="276" w:lineRule="auto"/>
              <w:ind w:leftChars="0" w:left="0" w:firstLineChars="0" w:firstLine="0"/>
              <w:jc w:val="both"/>
              <w:rPr>
                <w:sz w:val="24"/>
                <w:szCs w:val="24"/>
                <w:lang w:val="fr-FR"/>
              </w:rPr>
            </w:pPr>
          </w:p>
        </w:tc>
      </w:tr>
      <w:tr w:rsidR="00DB4027" w:rsidRPr="0022293F" w14:paraId="42DA4A07" w14:textId="77777777" w:rsidTr="004442BD">
        <w:tc>
          <w:tcPr>
            <w:tcW w:w="1770" w:type="dxa"/>
          </w:tcPr>
          <w:p w14:paraId="2263761C" w14:textId="77777777" w:rsidR="00DB4027" w:rsidRPr="0022293F" w:rsidRDefault="00DB4027" w:rsidP="00DB4027">
            <w:pPr>
              <w:spacing w:after="120" w:line="276" w:lineRule="auto"/>
              <w:ind w:hanging="2"/>
              <w:jc w:val="both"/>
              <w:rPr>
                <w:sz w:val="24"/>
                <w:szCs w:val="24"/>
                <w:lang w:val="fr-FR"/>
              </w:rPr>
            </w:pPr>
          </w:p>
        </w:tc>
        <w:tc>
          <w:tcPr>
            <w:tcW w:w="1106" w:type="dxa"/>
          </w:tcPr>
          <w:p w14:paraId="5CB6CE10" w14:textId="61312ADA" w:rsidR="00DB4027" w:rsidRPr="00DB4027" w:rsidRDefault="00DB4027" w:rsidP="00DB4027">
            <w:pPr>
              <w:spacing w:after="120" w:line="276" w:lineRule="auto"/>
              <w:ind w:hanging="2"/>
              <w:jc w:val="both"/>
              <w:rPr>
                <w:sz w:val="24"/>
                <w:szCs w:val="24"/>
                <w:lang w:val="fr-FR"/>
              </w:rPr>
            </w:pPr>
            <w:r w:rsidRPr="00DB4027">
              <w:rPr>
                <w:bCs/>
                <w:sz w:val="24"/>
                <w:szCs w:val="24"/>
                <w:lang w:val="it-IT"/>
              </w:rPr>
              <w:t>Văn phòng Bộ</w:t>
            </w:r>
          </w:p>
        </w:tc>
        <w:tc>
          <w:tcPr>
            <w:tcW w:w="3627" w:type="dxa"/>
          </w:tcPr>
          <w:p w14:paraId="1DFD2428" w14:textId="77777777" w:rsidR="00DB4027" w:rsidRPr="00DB4027" w:rsidRDefault="00DB4027" w:rsidP="00DB4027">
            <w:pPr>
              <w:ind w:hanging="2"/>
              <w:rPr>
                <w:sz w:val="24"/>
                <w:szCs w:val="24"/>
              </w:rPr>
            </w:pPr>
            <w:r w:rsidRPr="00DB4027">
              <w:rPr>
                <w:sz w:val="24"/>
                <w:szCs w:val="24"/>
              </w:rPr>
              <w:t>Đối với phần mẫu văn bản, báo cáo:</w:t>
            </w:r>
          </w:p>
          <w:p w14:paraId="1360CCE7" w14:textId="77777777" w:rsidR="00DB4027" w:rsidRPr="00DB4027" w:rsidRDefault="00DB4027" w:rsidP="00DB4027">
            <w:pPr>
              <w:ind w:hanging="2"/>
              <w:rPr>
                <w:i/>
                <w:iCs/>
                <w:sz w:val="24"/>
                <w:szCs w:val="24"/>
              </w:rPr>
            </w:pPr>
            <w:r w:rsidRPr="00DB4027">
              <w:rPr>
                <w:sz w:val="24"/>
                <w:szCs w:val="24"/>
              </w:rPr>
              <w:t xml:space="preserve">- Đề nghị sửa cụm từ: </w:t>
            </w:r>
            <w:r w:rsidRPr="00DB4027">
              <w:rPr>
                <w:i/>
                <w:iCs/>
                <w:sz w:val="24"/>
                <w:szCs w:val="24"/>
              </w:rPr>
              <w:t xml:space="preserve">“Bộ Y tế (Cục Hạ tầng và Thiết bị y tế)” </w:t>
            </w:r>
            <w:r w:rsidRPr="00DB4027">
              <w:rPr>
                <w:sz w:val="24"/>
                <w:szCs w:val="24"/>
              </w:rPr>
              <w:t xml:space="preserve">thành </w:t>
            </w:r>
            <w:r w:rsidRPr="00DB4027">
              <w:rPr>
                <w:i/>
                <w:iCs/>
                <w:sz w:val="24"/>
                <w:szCs w:val="24"/>
              </w:rPr>
              <w:t xml:space="preserve">“Cục Hạ tầng và Thiết bị y tế - Bộ Y tế” </w:t>
            </w:r>
            <w:r w:rsidRPr="00DB4027">
              <w:rPr>
                <w:sz w:val="24"/>
                <w:szCs w:val="24"/>
              </w:rPr>
              <w:t>tại tất cả các biểu mẫu và báo cáo</w:t>
            </w:r>
            <w:r w:rsidRPr="00DB4027">
              <w:rPr>
                <w:i/>
                <w:iCs/>
                <w:sz w:val="24"/>
                <w:szCs w:val="24"/>
              </w:rPr>
              <w:t>.</w:t>
            </w:r>
          </w:p>
          <w:p w14:paraId="03A18081" w14:textId="77777777" w:rsidR="00DB4027" w:rsidRPr="00DB4027" w:rsidRDefault="00DB4027" w:rsidP="00DB4027">
            <w:pPr>
              <w:ind w:hanging="2"/>
              <w:rPr>
                <w:sz w:val="24"/>
                <w:szCs w:val="24"/>
              </w:rPr>
            </w:pPr>
            <w:r w:rsidRPr="00DB4027">
              <w:rPr>
                <w:sz w:val="24"/>
                <w:szCs w:val="24"/>
              </w:rPr>
              <w:t xml:space="preserve">- Tại Phụ lục IV, phần căn cứ, đề nghị sửa căn cứ: </w:t>
            </w:r>
            <w:r w:rsidRPr="00DB4027">
              <w:rPr>
                <w:i/>
                <w:iCs/>
                <w:sz w:val="24"/>
                <w:szCs w:val="24"/>
              </w:rPr>
              <w:t>“Thông tư 05/2022/TT-BYT ngày 01 tháng 8 năm 2022 của Bộ trưởng Bộ Y tế…”</w:t>
            </w:r>
            <w:r w:rsidRPr="00DB4027">
              <w:rPr>
                <w:sz w:val="24"/>
                <w:szCs w:val="24"/>
              </w:rPr>
              <w:t>.</w:t>
            </w:r>
          </w:p>
          <w:p w14:paraId="6C0C16FF" w14:textId="65CB8C62" w:rsidR="00DB4027" w:rsidRPr="00DB4027" w:rsidRDefault="00DB4027" w:rsidP="00DB4027">
            <w:pPr>
              <w:spacing w:after="120" w:line="276" w:lineRule="auto"/>
              <w:ind w:hanging="2"/>
              <w:jc w:val="both"/>
              <w:rPr>
                <w:sz w:val="24"/>
                <w:szCs w:val="24"/>
                <w:lang w:val="fr-FR"/>
              </w:rPr>
            </w:pPr>
            <w:r w:rsidRPr="00DB4027">
              <w:rPr>
                <w:sz w:val="24"/>
                <w:szCs w:val="24"/>
              </w:rPr>
              <w:t xml:space="preserve">- Đề nghị có đánh giá tác động chi tiết đối với các mẫu tại Phụ lục VII vì các biểu mẫu tại Phụ lục này đã thay đổi nhiều so với các biểu mẫu </w:t>
            </w:r>
            <w:r w:rsidRPr="00DB4027">
              <w:rPr>
                <w:sz w:val="24"/>
                <w:szCs w:val="24"/>
              </w:rPr>
              <w:lastRenderedPageBreak/>
              <w:t>tại Thông tư số 19/2021/TT-BYT và Thông tư số 10/2023/TT-BYT</w:t>
            </w:r>
            <w:r w:rsidRPr="00DB4027">
              <w:rPr>
                <w:rStyle w:val="FootnoteReference"/>
                <w:sz w:val="24"/>
                <w:szCs w:val="24"/>
              </w:rPr>
              <w:footnoteReference w:id="5"/>
            </w:r>
            <w:r w:rsidRPr="00DB4027">
              <w:rPr>
                <w:sz w:val="24"/>
                <w:szCs w:val="24"/>
              </w:rPr>
              <w:t>.</w:t>
            </w:r>
          </w:p>
        </w:tc>
        <w:tc>
          <w:tcPr>
            <w:tcW w:w="2990" w:type="dxa"/>
          </w:tcPr>
          <w:p w14:paraId="7B78C83F" w14:textId="77777777" w:rsidR="00DB4027" w:rsidRPr="00DB4027" w:rsidRDefault="00DB4027" w:rsidP="00DB4027">
            <w:pPr>
              <w:spacing w:line="276" w:lineRule="auto"/>
              <w:ind w:hanging="2"/>
              <w:jc w:val="both"/>
              <w:rPr>
                <w:b/>
                <w:sz w:val="24"/>
                <w:szCs w:val="24"/>
                <w:lang w:val="it-IT"/>
              </w:rPr>
            </w:pPr>
            <w:r w:rsidRPr="00DB4027">
              <w:rPr>
                <w:b/>
                <w:sz w:val="24"/>
                <w:szCs w:val="24"/>
                <w:lang w:val="it-IT"/>
              </w:rPr>
              <w:lastRenderedPageBreak/>
              <w:t>Tiếp thu:</w:t>
            </w:r>
          </w:p>
          <w:p w14:paraId="63A70CA6" w14:textId="77777777" w:rsidR="00DB4027" w:rsidRPr="00DB4027" w:rsidRDefault="00DB4027" w:rsidP="00DB4027">
            <w:pPr>
              <w:spacing w:line="276" w:lineRule="auto"/>
              <w:ind w:hanging="2"/>
              <w:jc w:val="both"/>
              <w:rPr>
                <w:bCs/>
                <w:sz w:val="24"/>
                <w:szCs w:val="24"/>
                <w:lang w:val="it-IT"/>
              </w:rPr>
            </w:pPr>
            <w:r w:rsidRPr="00DB4027">
              <w:rPr>
                <w:bCs/>
                <w:sz w:val="24"/>
                <w:szCs w:val="24"/>
                <w:lang w:val="it-IT"/>
              </w:rPr>
              <w:t xml:space="preserve">- Cục HT&amp;TBYT đã sửa </w:t>
            </w:r>
            <w:r w:rsidRPr="00DB4027">
              <w:rPr>
                <w:sz w:val="24"/>
                <w:szCs w:val="24"/>
              </w:rPr>
              <w:t xml:space="preserve">cụm từ: </w:t>
            </w:r>
            <w:r w:rsidRPr="00DB4027">
              <w:rPr>
                <w:i/>
                <w:iCs/>
                <w:sz w:val="24"/>
                <w:szCs w:val="24"/>
              </w:rPr>
              <w:t xml:space="preserve">“Bộ Y tế (Cục Hạ tầng và Thiết bị y tế)” </w:t>
            </w:r>
            <w:r w:rsidRPr="00DB4027">
              <w:rPr>
                <w:sz w:val="24"/>
                <w:szCs w:val="24"/>
              </w:rPr>
              <w:t xml:space="preserve">thành </w:t>
            </w:r>
            <w:r w:rsidRPr="00DB4027">
              <w:rPr>
                <w:i/>
                <w:iCs/>
                <w:sz w:val="24"/>
                <w:szCs w:val="24"/>
              </w:rPr>
              <w:t xml:space="preserve">“Cục Hạ tầng và Thiết bị y tế - Bộ Y tế” </w:t>
            </w:r>
            <w:r w:rsidRPr="00DB4027">
              <w:rPr>
                <w:sz w:val="24"/>
                <w:szCs w:val="24"/>
              </w:rPr>
              <w:t>tại các biểu mẫu và báo cáo</w:t>
            </w:r>
            <w:r w:rsidRPr="00DB4027">
              <w:rPr>
                <w:i/>
                <w:iCs/>
                <w:sz w:val="24"/>
                <w:szCs w:val="24"/>
              </w:rPr>
              <w:t>.</w:t>
            </w:r>
          </w:p>
          <w:p w14:paraId="1A9D2E93" w14:textId="77777777" w:rsidR="00DB4027" w:rsidRPr="00DB4027" w:rsidRDefault="00DB4027" w:rsidP="00DB4027">
            <w:pPr>
              <w:ind w:hanging="2"/>
              <w:jc w:val="both"/>
              <w:rPr>
                <w:sz w:val="24"/>
                <w:szCs w:val="24"/>
              </w:rPr>
            </w:pPr>
            <w:r w:rsidRPr="00DB4027">
              <w:rPr>
                <w:bCs/>
                <w:sz w:val="24"/>
                <w:szCs w:val="24"/>
                <w:lang w:val="it-IT"/>
              </w:rPr>
              <w:t xml:space="preserve">- Cục HT&amp;TBYT đã sửa </w:t>
            </w:r>
            <w:r w:rsidRPr="00DB4027">
              <w:rPr>
                <w:sz w:val="24"/>
                <w:szCs w:val="24"/>
              </w:rPr>
              <w:t xml:space="preserve">sửa căn cứ: </w:t>
            </w:r>
            <w:r w:rsidRPr="00DB4027">
              <w:rPr>
                <w:i/>
                <w:iCs/>
                <w:sz w:val="24"/>
                <w:szCs w:val="24"/>
              </w:rPr>
              <w:t>“Thông tư 05/2022/TT-BYT ngày 01 tháng 8 năm 2022 của Bộ trưởng Bộ Y tế…”</w:t>
            </w:r>
            <w:r w:rsidRPr="00DB4027">
              <w:rPr>
                <w:sz w:val="24"/>
                <w:szCs w:val="24"/>
              </w:rPr>
              <w:t xml:space="preserve"> tại Phụ lục IV dự thảo Thông tư</w:t>
            </w:r>
          </w:p>
          <w:p w14:paraId="26DB3704" w14:textId="1B1070F5" w:rsidR="00DB4027" w:rsidRPr="00DB4027" w:rsidRDefault="00DB4027" w:rsidP="00DB4027">
            <w:pPr>
              <w:spacing w:after="120" w:line="276" w:lineRule="auto"/>
              <w:ind w:hanging="2"/>
              <w:jc w:val="both"/>
              <w:rPr>
                <w:sz w:val="24"/>
                <w:szCs w:val="24"/>
                <w:lang w:val="fr-FR"/>
              </w:rPr>
            </w:pPr>
            <w:r w:rsidRPr="00DB4027">
              <w:rPr>
                <w:sz w:val="24"/>
                <w:szCs w:val="24"/>
              </w:rPr>
              <w:t xml:space="preserve">- Cục HT&amp;TBYT đã đánh giá tác động thủ tục hành chính và có Công văn số </w:t>
            </w:r>
            <w:r w:rsidRPr="00DB4027">
              <w:rPr>
                <w:sz w:val="24"/>
                <w:szCs w:val="24"/>
              </w:rPr>
              <w:lastRenderedPageBreak/>
              <w:t>1258/HTTB-ĐKKD ngày 23/10/2025 gửi Văn phòng Bộ xem xét báo cáo. Văn phòng Bộ đã có ý kiến nhất trí với báo cáo của Cục HT&amp;TBYT tại Công văn số 2160/VPB6 ngày 24/10/2025.</w:t>
            </w:r>
          </w:p>
        </w:tc>
      </w:tr>
      <w:tr w:rsidR="00E63D25" w:rsidRPr="0022293F" w14:paraId="67CDF891" w14:textId="77777777" w:rsidTr="004442BD">
        <w:tc>
          <w:tcPr>
            <w:tcW w:w="1770" w:type="dxa"/>
          </w:tcPr>
          <w:p w14:paraId="4B36A5CC" w14:textId="77777777" w:rsidR="00E63D25" w:rsidRPr="0022293F" w:rsidRDefault="00E63D25" w:rsidP="00E63D25">
            <w:pPr>
              <w:spacing w:after="120" w:line="276" w:lineRule="auto"/>
              <w:ind w:hanging="2"/>
              <w:jc w:val="both"/>
              <w:rPr>
                <w:sz w:val="24"/>
                <w:szCs w:val="24"/>
                <w:lang w:val="fr-FR"/>
              </w:rPr>
            </w:pPr>
          </w:p>
        </w:tc>
        <w:tc>
          <w:tcPr>
            <w:tcW w:w="1106" w:type="dxa"/>
          </w:tcPr>
          <w:p w14:paraId="0A8352B0" w14:textId="29D0243B" w:rsidR="00E63D25" w:rsidRPr="00E63D25" w:rsidRDefault="00E63D25" w:rsidP="00E63D25">
            <w:pPr>
              <w:spacing w:after="120" w:line="276" w:lineRule="auto"/>
              <w:ind w:hanging="2"/>
              <w:jc w:val="both"/>
              <w:rPr>
                <w:sz w:val="24"/>
                <w:szCs w:val="24"/>
                <w:lang w:val="fr-FR"/>
              </w:rPr>
            </w:pPr>
            <w:r w:rsidRPr="00E63D25">
              <w:rPr>
                <w:bCs/>
                <w:sz w:val="24"/>
                <w:szCs w:val="24"/>
                <w:lang w:val="it-IT"/>
              </w:rPr>
              <w:t>Sở Y tế Đà Nẵng</w:t>
            </w:r>
          </w:p>
        </w:tc>
        <w:tc>
          <w:tcPr>
            <w:tcW w:w="3627" w:type="dxa"/>
          </w:tcPr>
          <w:p w14:paraId="310AC43A" w14:textId="77777777" w:rsidR="00E63D25" w:rsidRPr="00E63D25" w:rsidRDefault="00E63D25" w:rsidP="00E63D25">
            <w:pPr>
              <w:ind w:hanging="2"/>
              <w:jc w:val="both"/>
              <w:rPr>
                <w:sz w:val="24"/>
                <w:szCs w:val="24"/>
              </w:rPr>
            </w:pPr>
            <w:r w:rsidRPr="00E63D25">
              <w:rPr>
                <w:sz w:val="24"/>
                <w:szCs w:val="24"/>
              </w:rPr>
              <w:t>Đề xuất bổ sung nội dung:</w:t>
            </w:r>
          </w:p>
          <w:p w14:paraId="0516A1EA" w14:textId="77777777" w:rsidR="00E63D25" w:rsidRPr="00E63D25" w:rsidRDefault="00E63D25" w:rsidP="00E63D25">
            <w:pPr>
              <w:ind w:hanging="2"/>
              <w:jc w:val="both"/>
              <w:rPr>
                <w:sz w:val="24"/>
                <w:szCs w:val="24"/>
              </w:rPr>
            </w:pPr>
            <w:r w:rsidRPr="00E63D25">
              <w:rPr>
                <w:sz w:val="24"/>
                <w:szCs w:val="24"/>
              </w:rPr>
              <w:t>- Mẫu số 02 và 03 của Phụ lục I: bổ sung nội dung về tên và địa chỉ cơ sở chịu trách nhiệm phân loại thiết bị y tế.</w:t>
            </w:r>
          </w:p>
          <w:p w14:paraId="6B07D9AA" w14:textId="504E545D" w:rsidR="00E63D25" w:rsidRPr="00E63D25" w:rsidRDefault="00E63D25" w:rsidP="00E63D25">
            <w:pPr>
              <w:spacing w:after="120" w:line="276" w:lineRule="auto"/>
              <w:ind w:hanging="2"/>
              <w:jc w:val="both"/>
              <w:rPr>
                <w:sz w:val="24"/>
                <w:szCs w:val="24"/>
                <w:lang w:val="fr-FR"/>
              </w:rPr>
            </w:pPr>
            <w:r w:rsidRPr="00E63D25">
              <w:rPr>
                <w:sz w:val="24"/>
                <w:szCs w:val="24"/>
              </w:rPr>
              <w:t>- Mẫu số 01 và 09: bổ sung thông tin về phân loại thiết bị y tế (thiết bị đăng ký thuộc loại nào).</w:t>
            </w:r>
          </w:p>
        </w:tc>
        <w:tc>
          <w:tcPr>
            <w:tcW w:w="2990" w:type="dxa"/>
          </w:tcPr>
          <w:p w14:paraId="68076320" w14:textId="77777777" w:rsidR="00E63D25" w:rsidRPr="00E63D25" w:rsidRDefault="00E63D25" w:rsidP="00E63D25">
            <w:pPr>
              <w:spacing w:line="276" w:lineRule="auto"/>
              <w:ind w:hanging="2"/>
              <w:jc w:val="both"/>
              <w:rPr>
                <w:b/>
                <w:sz w:val="24"/>
                <w:szCs w:val="24"/>
                <w:lang w:val="it-IT"/>
              </w:rPr>
            </w:pPr>
            <w:r w:rsidRPr="00E63D25">
              <w:rPr>
                <w:b/>
                <w:sz w:val="24"/>
                <w:szCs w:val="24"/>
                <w:lang w:val="it-IT"/>
              </w:rPr>
              <w:t>Giữ nguyên như dự thảo</w:t>
            </w:r>
          </w:p>
          <w:p w14:paraId="273643A6" w14:textId="7E72BFAD" w:rsidR="00E63D25" w:rsidRPr="00E63D25" w:rsidRDefault="00E63D25" w:rsidP="00E63D25">
            <w:pPr>
              <w:spacing w:after="120" w:line="276" w:lineRule="auto"/>
              <w:ind w:hanging="2"/>
              <w:jc w:val="both"/>
              <w:rPr>
                <w:sz w:val="24"/>
                <w:szCs w:val="24"/>
                <w:lang w:val="fr-FR"/>
              </w:rPr>
            </w:pPr>
            <w:r w:rsidRPr="00E63D25">
              <w:rPr>
                <w:bCs/>
                <w:sz w:val="24"/>
                <w:szCs w:val="24"/>
                <w:lang w:val="it-IT"/>
              </w:rPr>
              <w:t>Vì nội dung về cơ sở thực hiện phân loại thiết bị y tế đã được quy định tại khoản 6 Điều 5 Nghị định số 98/2021/NĐ-CP: “</w:t>
            </w:r>
            <w:r w:rsidRPr="00E63D25">
              <w:rPr>
                <w:i/>
                <w:iCs/>
                <w:sz w:val="24"/>
                <w:szCs w:val="24"/>
              </w:rPr>
              <w:t>6. Việc phân loại </w:t>
            </w:r>
            <w:bookmarkStart w:id="0" w:name="cumtu_61"/>
            <w:r w:rsidRPr="00E63D25">
              <w:rPr>
                <w:i/>
                <w:iCs/>
                <w:sz w:val="24"/>
                <w:szCs w:val="24"/>
              </w:rPr>
              <w:t>thiết bị y tế</w:t>
            </w:r>
            <w:bookmarkEnd w:id="0"/>
            <w:r w:rsidRPr="00E63D25">
              <w:rPr>
                <w:i/>
                <w:iCs/>
                <w:sz w:val="24"/>
                <w:szCs w:val="24"/>
              </w:rPr>
              <w:t> phải được thực hiện bởi cơ sở phân loại là cơ sở đứng tên công bố tiêu chuẩn áp dụng hoặc đăng ký lưu hành”.</w:t>
            </w:r>
          </w:p>
        </w:tc>
      </w:tr>
      <w:tr w:rsidR="0007710D" w:rsidRPr="0022293F" w14:paraId="14D94706" w14:textId="77777777" w:rsidTr="004442BD">
        <w:tc>
          <w:tcPr>
            <w:tcW w:w="1770" w:type="dxa"/>
          </w:tcPr>
          <w:p w14:paraId="63C5B488" w14:textId="490443C4" w:rsidR="0007710D" w:rsidRPr="00E63D25" w:rsidRDefault="0007710D" w:rsidP="00E63D25">
            <w:pPr>
              <w:spacing w:after="120" w:line="276" w:lineRule="auto"/>
              <w:ind w:hanging="2"/>
              <w:jc w:val="both"/>
              <w:rPr>
                <w:sz w:val="24"/>
                <w:szCs w:val="24"/>
                <w:lang w:val="fr-FR"/>
              </w:rPr>
            </w:pPr>
            <w:r w:rsidRPr="00E63D25">
              <w:rPr>
                <w:sz w:val="24"/>
                <w:szCs w:val="24"/>
                <w:lang w:val="it-IT"/>
              </w:rPr>
              <w:t>Điều 6. Điều khoản chuyển tiếp</w:t>
            </w:r>
          </w:p>
        </w:tc>
        <w:tc>
          <w:tcPr>
            <w:tcW w:w="1106" w:type="dxa"/>
          </w:tcPr>
          <w:p w14:paraId="32ABA7CA" w14:textId="4D4ABBE9" w:rsidR="0007710D" w:rsidRPr="00E63D25" w:rsidRDefault="0007710D" w:rsidP="00E63D25">
            <w:pPr>
              <w:spacing w:after="120" w:line="276" w:lineRule="auto"/>
              <w:ind w:hanging="2"/>
              <w:jc w:val="both"/>
              <w:rPr>
                <w:sz w:val="24"/>
                <w:szCs w:val="24"/>
                <w:lang w:val="fr-FR"/>
              </w:rPr>
            </w:pPr>
            <w:r w:rsidRPr="00E63D25">
              <w:rPr>
                <w:bCs/>
                <w:sz w:val="24"/>
                <w:szCs w:val="24"/>
                <w:lang w:val="it-IT"/>
              </w:rPr>
              <w:t>Công ty TNHH Roche Việt Nam</w:t>
            </w:r>
          </w:p>
        </w:tc>
        <w:tc>
          <w:tcPr>
            <w:tcW w:w="3627" w:type="dxa"/>
          </w:tcPr>
          <w:p w14:paraId="7E50B6D0" w14:textId="4717B61B" w:rsidR="0007710D" w:rsidRPr="00E63D25" w:rsidRDefault="0007710D" w:rsidP="00E63D25">
            <w:pPr>
              <w:spacing w:after="120" w:line="276" w:lineRule="auto"/>
              <w:ind w:hanging="2"/>
              <w:jc w:val="both"/>
              <w:rPr>
                <w:sz w:val="24"/>
                <w:szCs w:val="24"/>
                <w:lang w:val="fr-FR"/>
              </w:rPr>
            </w:pPr>
            <w:r w:rsidRPr="00E63D25">
              <w:rPr>
                <w:sz w:val="24"/>
                <w:szCs w:val="24"/>
              </w:rPr>
              <w:t xml:space="preserve">Đề xuất sửa đổi thành </w:t>
            </w:r>
            <w:r w:rsidRPr="00E63D25">
              <w:rPr>
                <w:i/>
                <w:sz w:val="24"/>
                <w:szCs w:val="24"/>
              </w:rPr>
              <w:t>“Các văn bản đã ban hành theo các quy định trước đây của Bộ Y tế trước ngày Thông tư này có hiệu lực được tiếp tục sử dụng đến khi văn bản hết hiệu lực.”</w:t>
            </w:r>
          </w:p>
        </w:tc>
        <w:tc>
          <w:tcPr>
            <w:tcW w:w="2990" w:type="dxa"/>
            <w:vMerge w:val="restart"/>
          </w:tcPr>
          <w:p w14:paraId="152E0338" w14:textId="77777777" w:rsidR="0007710D" w:rsidRPr="00E63D25" w:rsidRDefault="0007710D" w:rsidP="00E63D25">
            <w:pPr>
              <w:spacing w:line="276" w:lineRule="auto"/>
              <w:ind w:hanging="2"/>
              <w:jc w:val="both"/>
              <w:rPr>
                <w:b/>
                <w:sz w:val="24"/>
                <w:szCs w:val="24"/>
                <w:lang w:val="it-IT"/>
              </w:rPr>
            </w:pPr>
            <w:r w:rsidRPr="00E63D25">
              <w:rPr>
                <w:b/>
                <w:sz w:val="24"/>
                <w:szCs w:val="24"/>
                <w:lang w:val="it-IT"/>
              </w:rPr>
              <w:t>Tiếp thu:</w:t>
            </w:r>
          </w:p>
          <w:p w14:paraId="79823FDF" w14:textId="7C9D2B20" w:rsidR="0007710D" w:rsidRPr="004F774F" w:rsidRDefault="0007710D" w:rsidP="004F774F">
            <w:pPr>
              <w:pStyle w:val="NormalWeb"/>
              <w:shd w:val="clear" w:color="auto" w:fill="FFFFFF"/>
              <w:spacing w:before="0" w:beforeAutospacing="0" w:after="120" w:afterAutospacing="0" w:line="240" w:lineRule="auto"/>
              <w:ind w:hanging="2"/>
              <w:jc w:val="both"/>
              <w:rPr>
                <w:bCs/>
                <w:sz w:val="28"/>
                <w:szCs w:val="28"/>
                <w:lang w:val="it-IT"/>
              </w:rPr>
            </w:pPr>
            <w:r w:rsidRPr="00E63D25">
              <w:rPr>
                <w:bCs/>
                <w:lang w:val="it-IT"/>
              </w:rPr>
              <w:t xml:space="preserve">- Cục HT&amp;TBYT đã sửa </w:t>
            </w:r>
            <w:r w:rsidRPr="00E63D25">
              <w:t xml:space="preserve">Điều 6 như sau: </w:t>
            </w:r>
            <w:r w:rsidRPr="004F774F">
              <w:rPr>
                <w:i/>
                <w:iCs/>
                <w:lang w:val="en" w:eastAsia="en-GB"/>
              </w:rPr>
              <w:t>“</w:t>
            </w:r>
            <w:r w:rsidR="004F774F" w:rsidRPr="004F774F">
              <w:rPr>
                <w:i/>
                <w:iCs/>
                <w:lang w:val="en" w:eastAsia="en-GB"/>
              </w:rPr>
              <w:t>Đối với các mẫu văn bản, báo cáo thực hiện quản lý thiết bị y tế theo quy định tại Thông tư số 19/2021/TT-BYT ngày 16 tháng 11 năm 2021 của Bộ trưởng Bộ Y tế quy định mẫu văn bản, báo cáo thực hiện Nghị định số 98/2021/NĐ-CP được sửa đổi, bổ sung bởi Thông tư số 10/2023/TT-BYT ngày 11 tháng 5 năm 2023 của Bộ trưởng Bộ Y tế đã nộp trong các hồ sơ hoặc đã được ký ban hành của các cơ quan, tổ chức, cá nhân để thực hiện quản lý thiết bị y tế trước ngày 01/7/2026 thì được tiếp tục sử dụng đến khi hoàn thành hồ sơ thực hiện quản lý thiết bị y tế, trừ trường hợp các hồ sơ nộp mới thực hiện quản lý thiết bị y tế</w:t>
            </w:r>
            <w:bookmarkStart w:id="1" w:name="_GoBack"/>
            <w:bookmarkEnd w:id="1"/>
            <w:r w:rsidRPr="004F774F">
              <w:rPr>
                <w:i/>
                <w:iCs/>
                <w:lang w:val="en" w:eastAsia="en-GB"/>
              </w:rPr>
              <w:t>.”</w:t>
            </w:r>
          </w:p>
        </w:tc>
      </w:tr>
      <w:tr w:rsidR="0007710D" w:rsidRPr="0022293F" w14:paraId="23C821EE" w14:textId="77777777" w:rsidTr="004442BD">
        <w:tc>
          <w:tcPr>
            <w:tcW w:w="1770" w:type="dxa"/>
          </w:tcPr>
          <w:p w14:paraId="01398B57" w14:textId="77777777" w:rsidR="0007710D" w:rsidRPr="00E63D25" w:rsidRDefault="0007710D" w:rsidP="00E63D25">
            <w:pPr>
              <w:spacing w:after="120" w:line="276" w:lineRule="auto"/>
              <w:ind w:hanging="2"/>
              <w:jc w:val="both"/>
              <w:rPr>
                <w:sz w:val="24"/>
                <w:szCs w:val="24"/>
                <w:lang w:val="it-IT"/>
              </w:rPr>
            </w:pPr>
          </w:p>
        </w:tc>
        <w:tc>
          <w:tcPr>
            <w:tcW w:w="1106" w:type="dxa"/>
          </w:tcPr>
          <w:p w14:paraId="17A32694" w14:textId="73B20931" w:rsidR="0007710D" w:rsidRPr="00E63D25" w:rsidRDefault="0007710D" w:rsidP="00E63D25">
            <w:pPr>
              <w:spacing w:after="120" w:line="276" w:lineRule="auto"/>
              <w:ind w:hanging="2"/>
              <w:jc w:val="both"/>
              <w:rPr>
                <w:sz w:val="24"/>
                <w:szCs w:val="24"/>
                <w:lang w:val="fr-FR"/>
              </w:rPr>
            </w:pPr>
            <w:r w:rsidRPr="00E63D25">
              <w:rPr>
                <w:bCs/>
                <w:sz w:val="24"/>
                <w:szCs w:val="24"/>
                <w:lang w:val="it-IT"/>
              </w:rPr>
              <w:t>Công ty TNHH Kỹ thuật Nam Phương</w:t>
            </w:r>
          </w:p>
        </w:tc>
        <w:tc>
          <w:tcPr>
            <w:tcW w:w="3627" w:type="dxa"/>
          </w:tcPr>
          <w:p w14:paraId="10177F69" w14:textId="77777777" w:rsidR="0007710D" w:rsidRPr="00E63D25" w:rsidRDefault="0007710D" w:rsidP="00E63D25">
            <w:pPr>
              <w:ind w:hanging="2"/>
              <w:rPr>
                <w:sz w:val="24"/>
                <w:szCs w:val="24"/>
              </w:rPr>
            </w:pPr>
            <w:r w:rsidRPr="00E63D25">
              <w:rPr>
                <w:sz w:val="24"/>
                <w:szCs w:val="24"/>
              </w:rPr>
              <w:t>Bổ sung thêm nội dung liên quan đến giấy ủy quyền, giấy chứng nhận bảo hành đã ban hành như sau:</w:t>
            </w:r>
          </w:p>
          <w:p w14:paraId="707F941E" w14:textId="77777777" w:rsidR="0007710D" w:rsidRPr="00E63D25" w:rsidRDefault="0007710D" w:rsidP="00E63D25">
            <w:pPr>
              <w:ind w:hanging="2"/>
              <w:rPr>
                <w:i/>
                <w:iCs/>
                <w:sz w:val="24"/>
                <w:szCs w:val="24"/>
              </w:rPr>
            </w:pPr>
            <w:r w:rsidRPr="00E63D25">
              <w:rPr>
                <w:i/>
                <w:iCs/>
                <w:sz w:val="24"/>
                <w:szCs w:val="24"/>
              </w:rPr>
              <w:t>"Giấy ủy quyền, giấy xác nhận đủ điều kiện bảo hành theo mẫu quy định do chủ sở hữu thiết bị y tế ký ban hành trước ngày Thông tư này có hiệu lực nếu vẫn còn hiệu lực thì được tiếp tục sử dụng hợp lệ."</w:t>
            </w:r>
          </w:p>
          <w:p w14:paraId="69622CD8" w14:textId="77777777" w:rsidR="0007710D" w:rsidRPr="00E63D25" w:rsidRDefault="0007710D" w:rsidP="00E63D25">
            <w:pPr>
              <w:ind w:hanging="2"/>
              <w:rPr>
                <w:sz w:val="24"/>
                <w:szCs w:val="24"/>
              </w:rPr>
            </w:pPr>
            <w:r w:rsidRPr="00E63D25">
              <w:rPr>
                <w:sz w:val="24"/>
                <w:szCs w:val="24"/>
              </w:rPr>
              <w:t>Lí do:</w:t>
            </w:r>
          </w:p>
          <w:p w14:paraId="765F54AC" w14:textId="77777777" w:rsidR="0007710D" w:rsidRPr="00E63D25" w:rsidRDefault="0007710D" w:rsidP="00E63D25">
            <w:pPr>
              <w:ind w:hanging="2"/>
              <w:rPr>
                <w:sz w:val="24"/>
                <w:szCs w:val="24"/>
              </w:rPr>
            </w:pPr>
            <w:r w:rsidRPr="00E63D25">
              <w:rPr>
                <w:sz w:val="24"/>
                <w:szCs w:val="24"/>
              </w:rPr>
              <w:t xml:space="preserve">+ </w:t>
            </w:r>
            <w:r w:rsidRPr="00E63D25">
              <w:rPr>
                <w:b/>
                <w:bCs/>
                <w:sz w:val="24"/>
                <w:szCs w:val="24"/>
              </w:rPr>
              <w:t xml:space="preserve">Giấy ủy quyền, giấy xác nhận đủ điều kiện bảo hành </w:t>
            </w:r>
            <w:r w:rsidRPr="00E63D25">
              <w:rPr>
                <w:sz w:val="24"/>
                <w:szCs w:val="24"/>
              </w:rPr>
              <w:t xml:space="preserve">do chủ sở hữu thiết bị y tế ký ban hành theo mẫu quy định trước đó hiện không chỉ dùng để nộp trong hồ sơ, thủ tục nộp cho Bộ Y tế (hồ sơ đề nghị cấp giấy chứng nhận đăng ký lưu hành, hồ sơ đề nghị cấp giấy phép nhập khẩu, hồ sơ đề nghị cấp giấy chứng nhận đăng ký lưu hành tự </w:t>
            </w:r>
            <w:r w:rsidRPr="00E63D25">
              <w:rPr>
                <w:sz w:val="24"/>
                <w:szCs w:val="24"/>
              </w:rPr>
              <w:lastRenderedPageBreak/>
              <w:t>do), mà còn có trong các thủ tục công bố với Sở Y tế. Trong khi đó, Nghị định 148/2025/NĐ-CP chưa có quy định cho nội dung này.</w:t>
            </w:r>
          </w:p>
          <w:p w14:paraId="690BC86B" w14:textId="42405481" w:rsidR="0007710D" w:rsidRPr="00E63D25" w:rsidRDefault="0007710D" w:rsidP="00E63D25">
            <w:pPr>
              <w:spacing w:after="120" w:line="276" w:lineRule="auto"/>
              <w:ind w:hanging="2"/>
              <w:jc w:val="both"/>
              <w:rPr>
                <w:sz w:val="24"/>
                <w:szCs w:val="24"/>
                <w:lang w:val="fr-FR"/>
              </w:rPr>
            </w:pPr>
            <w:r w:rsidRPr="00E63D25">
              <w:rPr>
                <w:sz w:val="24"/>
                <w:szCs w:val="24"/>
              </w:rPr>
              <w:t>Đồng thời các tài liệu này cũng được nộp trong các hồ sơ dự thầu với Bệnh viện, vì vậy nên ghi rõ để Bệnh viện cũng như doanh nghiệp có sơ sở để tiếp tục sử dụng các tài liệu đã ban hành nếu còn hiệu lực một cách hợp lệ. Nếu không ghi rõ, doanh nghiệp sẽ phải làm lại hầu hết Thư ủy quyền, Giấy xác nhận đủ điều kiện bảo hành kèm theo việc hợp pháp hóa lãnh sự các tài liệu này. Như vậy sẽ gây nên sự lãng phí không cần thiết về thời gian và chi phí cho doanh nghiệp.</w:t>
            </w:r>
          </w:p>
        </w:tc>
        <w:tc>
          <w:tcPr>
            <w:tcW w:w="2990" w:type="dxa"/>
            <w:vMerge/>
          </w:tcPr>
          <w:p w14:paraId="04148F3F" w14:textId="77777777" w:rsidR="0007710D" w:rsidRPr="0022293F" w:rsidRDefault="0007710D" w:rsidP="00E63D25">
            <w:pPr>
              <w:spacing w:after="120" w:line="276" w:lineRule="auto"/>
              <w:ind w:hanging="2"/>
              <w:jc w:val="both"/>
              <w:rPr>
                <w:sz w:val="24"/>
                <w:szCs w:val="24"/>
                <w:lang w:val="fr-FR"/>
              </w:rPr>
            </w:pPr>
          </w:p>
        </w:tc>
      </w:tr>
      <w:tr w:rsidR="008A124D" w:rsidRPr="0022293F" w14:paraId="0647A7D9" w14:textId="77777777" w:rsidTr="004442BD">
        <w:tc>
          <w:tcPr>
            <w:tcW w:w="1770" w:type="dxa"/>
          </w:tcPr>
          <w:p w14:paraId="79A0B522" w14:textId="408AE034" w:rsidR="008A124D" w:rsidRPr="007661AC" w:rsidRDefault="008A124D" w:rsidP="008A124D">
            <w:pPr>
              <w:spacing w:after="120" w:line="276" w:lineRule="auto"/>
              <w:ind w:hanging="2"/>
              <w:jc w:val="both"/>
              <w:rPr>
                <w:sz w:val="24"/>
                <w:szCs w:val="24"/>
                <w:lang w:val="it-IT"/>
              </w:rPr>
            </w:pPr>
            <w:r w:rsidRPr="007661AC">
              <w:rPr>
                <w:bCs/>
                <w:sz w:val="24"/>
                <w:szCs w:val="24"/>
                <w:lang w:val="es-ES"/>
              </w:rPr>
              <w:t>Ý kiến khác</w:t>
            </w:r>
          </w:p>
        </w:tc>
        <w:tc>
          <w:tcPr>
            <w:tcW w:w="1106" w:type="dxa"/>
          </w:tcPr>
          <w:p w14:paraId="2551C8C6" w14:textId="662FC7CC" w:rsidR="008A124D" w:rsidRPr="008A124D" w:rsidRDefault="008A124D" w:rsidP="008A124D">
            <w:pPr>
              <w:spacing w:after="120" w:line="276" w:lineRule="auto"/>
              <w:ind w:hanging="2"/>
              <w:jc w:val="both"/>
              <w:rPr>
                <w:bCs/>
                <w:sz w:val="24"/>
                <w:szCs w:val="24"/>
                <w:lang w:val="it-IT"/>
              </w:rPr>
            </w:pPr>
            <w:r w:rsidRPr="008A124D">
              <w:rPr>
                <w:bCs/>
                <w:sz w:val="24"/>
                <w:szCs w:val="24"/>
                <w:lang w:val="it-IT"/>
              </w:rPr>
              <w:t>Vụ Pháp chế</w:t>
            </w:r>
          </w:p>
        </w:tc>
        <w:tc>
          <w:tcPr>
            <w:tcW w:w="3627" w:type="dxa"/>
          </w:tcPr>
          <w:p w14:paraId="4D900B4D" w14:textId="68063822" w:rsidR="008A124D" w:rsidRPr="008A124D" w:rsidRDefault="008A124D" w:rsidP="008A124D">
            <w:pPr>
              <w:ind w:hanging="2"/>
              <w:rPr>
                <w:sz w:val="24"/>
                <w:szCs w:val="24"/>
              </w:rPr>
            </w:pPr>
            <w:r w:rsidRPr="008A124D">
              <w:rPr>
                <w:sz w:val="24"/>
                <w:szCs w:val="24"/>
                <w:lang w:val="fr-FR"/>
              </w:rPr>
              <w:t xml:space="preserve">Do nội dung quản lý nhà nước về thiết bị y tế có liên quan đến chức năng, nhiệm vụ của Cục Khoa học công nghệ và Đào tạo, vì vậy, đề nghị Quý Cục chủ trì, phối hợp với Cục Khoa học công nghệ và Đào tạo trong việc rà soát, bổ sung nội dung </w:t>
            </w:r>
            <w:r w:rsidRPr="008A124D">
              <w:rPr>
                <w:i/>
                <w:iCs/>
                <w:sz w:val="24"/>
                <w:szCs w:val="24"/>
                <w:lang w:val="fr-FR"/>
              </w:rPr>
              <w:t>(nếu cần thiết)</w:t>
            </w:r>
            <w:r w:rsidRPr="008A124D">
              <w:rPr>
                <w:sz w:val="24"/>
                <w:szCs w:val="24"/>
                <w:lang w:val="fr-FR"/>
              </w:rPr>
              <w:t xml:space="preserve"> khi đề xuất nội dung phân cấp thực hiện nhiệm vụ quản lý thiết bị y tế thuộc thẩm quyền của Bộ Y tế để bảo đảm tính toàn diện, bao trùm các nội dung về phân cấp thực hiện nhiệm vụ quản lý thiết bị y tế thuộc thẩm quyền của Bộ Y tế trong cùng một Thông tư</w:t>
            </w:r>
            <w:r w:rsidRPr="008A124D">
              <w:rPr>
                <w:rStyle w:val="FootnoteReference"/>
                <w:sz w:val="24"/>
                <w:szCs w:val="24"/>
                <w:lang w:val="fr-FR"/>
              </w:rPr>
              <w:footnoteReference w:id="6"/>
            </w:r>
            <w:r w:rsidRPr="008A124D">
              <w:rPr>
                <w:sz w:val="24"/>
                <w:szCs w:val="24"/>
                <w:lang w:val="fr-FR"/>
              </w:rPr>
              <w:t>.</w:t>
            </w:r>
          </w:p>
        </w:tc>
        <w:tc>
          <w:tcPr>
            <w:tcW w:w="2990" w:type="dxa"/>
          </w:tcPr>
          <w:p w14:paraId="0821F92E" w14:textId="77777777" w:rsidR="008A124D" w:rsidRPr="008A124D" w:rsidRDefault="008A124D" w:rsidP="008A124D">
            <w:pPr>
              <w:spacing w:line="276" w:lineRule="auto"/>
              <w:ind w:hanging="2"/>
              <w:jc w:val="both"/>
              <w:rPr>
                <w:b/>
                <w:bCs/>
                <w:sz w:val="24"/>
                <w:szCs w:val="24"/>
                <w:lang w:val="es-ES"/>
              </w:rPr>
            </w:pPr>
            <w:r w:rsidRPr="008A124D">
              <w:rPr>
                <w:b/>
                <w:bCs/>
                <w:sz w:val="24"/>
                <w:szCs w:val="24"/>
                <w:lang w:val="es-ES"/>
              </w:rPr>
              <w:t>Tiếp thu</w:t>
            </w:r>
          </w:p>
          <w:p w14:paraId="1A610C71" w14:textId="77777777" w:rsidR="008A124D" w:rsidRPr="008A124D" w:rsidRDefault="008A124D" w:rsidP="008A124D">
            <w:pPr>
              <w:spacing w:line="276" w:lineRule="auto"/>
              <w:ind w:hanging="2"/>
              <w:jc w:val="both"/>
              <w:rPr>
                <w:sz w:val="24"/>
                <w:szCs w:val="24"/>
                <w:lang w:val="fr-FR"/>
              </w:rPr>
            </w:pPr>
            <w:r w:rsidRPr="008A124D">
              <w:rPr>
                <w:bCs/>
                <w:sz w:val="24"/>
                <w:szCs w:val="24"/>
                <w:lang w:val="it-IT"/>
              </w:rPr>
              <w:t>Cục HT&amp;TBYT đã có Công văn số 1172/HTTB-ĐKKD</w:t>
            </w:r>
            <w:r w:rsidRPr="008A124D">
              <w:rPr>
                <w:bCs/>
                <w:sz w:val="24"/>
                <w:szCs w:val="24"/>
                <w:lang w:val="vi-VN"/>
              </w:rPr>
              <w:t xml:space="preserve"> </w:t>
            </w:r>
            <w:r w:rsidRPr="008A124D">
              <w:rPr>
                <w:bCs/>
                <w:sz w:val="24"/>
                <w:szCs w:val="24"/>
                <w:lang w:val="it-IT"/>
              </w:rPr>
              <w:t xml:space="preserve">ngày 10/10/2025 gửi Cục </w:t>
            </w:r>
            <w:r w:rsidRPr="008A124D">
              <w:rPr>
                <w:sz w:val="24"/>
                <w:szCs w:val="24"/>
                <w:lang w:val="fr-FR"/>
              </w:rPr>
              <w:t>Khoa học công nghệ và Đào tạo (Cục KHCN&amp;ĐT) đề nghị bổ sung nội dung này.</w:t>
            </w:r>
          </w:p>
          <w:p w14:paraId="2A0E6BBB" w14:textId="1826FD68" w:rsidR="008A124D" w:rsidRPr="008A124D" w:rsidRDefault="008A124D" w:rsidP="008A124D">
            <w:pPr>
              <w:spacing w:after="120" w:line="276" w:lineRule="auto"/>
              <w:ind w:hanging="2"/>
              <w:jc w:val="both"/>
              <w:rPr>
                <w:sz w:val="24"/>
                <w:szCs w:val="24"/>
                <w:lang w:val="fr-FR"/>
              </w:rPr>
            </w:pPr>
            <w:r w:rsidRPr="008A124D">
              <w:rPr>
                <w:bCs/>
                <w:sz w:val="24"/>
                <w:szCs w:val="24"/>
                <w:lang w:val="it-IT"/>
              </w:rPr>
              <w:t>Ngày 1</w:t>
            </w:r>
            <w:r w:rsidRPr="008A124D">
              <w:rPr>
                <w:bCs/>
                <w:sz w:val="24"/>
                <w:szCs w:val="24"/>
                <w:lang w:val="vi-VN"/>
              </w:rPr>
              <w:t>5</w:t>
            </w:r>
            <w:r w:rsidRPr="008A124D">
              <w:rPr>
                <w:bCs/>
                <w:sz w:val="24"/>
                <w:szCs w:val="24"/>
                <w:lang w:val="it-IT"/>
              </w:rPr>
              <w:t>/10/2025, Cục KHCN&amp;ĐT có ý kiến tại Công văn</w:t>
            </w:r>
            <w:r w:rsidRPr="008A124D">
              <w:rPr>
                <w:bCs/>
                <w:sz w:val="24"/>
                <w:szCs w:val="24"/>
                <w:lang w:val="vi-VN"/>
              </w:rPr>
              <w:t xml:space="preserve"> số 2654/K2ĐT-KHCN </w:t>
            </w:r>
            <w:r w:rsidRPr="008A124D">
              <w:rPr>
                <w:i/>
                <w:iCs/>
                <w:sz w:val="24"/>
                <w:szCs w:val="24"/>
                <w:lang w:val="fr-FR"/>
              </w:rPr>
              <w:t xml:space="preserve">“Đối với quản lý nghiên cứu thử nghiệm lâm sàng thiết bị y tế: Việc phân cấp vào thời điểm này là chưa phù hợp. Lý do: đây là các thiết bị mới lần đầu được ứng dụng trên con người, có liên quan trực tiếp đến sức khỏe, sự an toàn, tính mạng của người bệnh, do đó cần được Hội đồng đạo đức trong nghiên cứu y sinh học các cấp đánh giá về mặt khoa học và đạo đức theo một quy trình hết sức chặt chẽ. Bên cạnh đó, thử nghiệm lâm sàng được tiến </w:t>
            </w:r>
            <w:r w:rsidRPr="008A124D">
              <w:rPr>
                <w:i/>
                <w:iCs/>
                <w:sz w:val="24"/>
                <w:szCs w:val="24"/>
                <w:lang w:val="fr-FR"/>
              </w:rPr>
              <w:lastRenderedPageBreak/>
              <w:t>hành tại nhiều cơ sở nghiên cứu (đa trung tâm) để bảo đảm tính đại diện. Do đó, Hội đồng đạo đức Quốc gia (do Bộ trưởng Bộ Y tế quyết định thành lập) đóng vai trò quan trọng hàng đầu trong việc thẩm định hồ sơ và đề cương của tất các các điểm nghiên cứu, tư vấn cho cơ quan có thẩm quyền phê duyệt. Với quy trình khoa học và đạo đức như vậy, tại thời điểm hiện tại, thử nghiệm lâm sàng thiết bị y tế cần được Bộ Y tế phê duyệt và quản lý.</w:t>
            </w:r>
            <w:r w:rsidRPr="008A124D">
              <w:rPr>
                <w:i/>
                <w:iCs/>
                <w:sz w:val="24"/>
                <w:szCs w:val="24"/>
                <w:lang w:val="vi-VN"/>
              </w:rPr>
              <w:t>”</w:t>
            </w:r>
          </w:p>
        </w:tc>
      </w:tr>
    </w:tbl>
    <w:p w14:paraId="5CB29FA1" w14:textId="77777777" w:rsidR="001852C7" w:rsidRPr="001852C7" w:rsidRDefault="001852C7" w:rsidP="008371BC">
      <w:pPr>
        <w:spacing w:after="120" w:line="276" w:lineRule="auto"/>
        <w:ind w:right="-334" w:firstLine="720"/>
        <w:jc w:val="both"/>
        <w:rPr>
          <w:lang w:val="fr-FR"/>
        </w:rPr>
      </w:pPr>
    </w:p>
    <w:p w14:paraId="5CE35B57" w14:textId="15E3485E" w:rsidR="008371BC" w:rsidRPr="008371BC" w:rsidRDefault="008371BC" w:rsidP="008371BC">
      <w:pPr>
        <w:spacing w:before="360" w:after="480"/>
        <w:ind w:right="-334" w:firstLine="720"/>
        <w:jc w:val="both"/>
      </w:pPr>
    </w:p>
    <w:p w14:paraId="6C21A66C" w14:textId="77777777" w:rsidR="008371BC" w:rsidRDefault="008371BC" w:rsidP="00857A87">
      <w:pPr>
        <w:spacing w:after="360" w:line="276" w:lineRule="auto"/>
        <w:ind w:firstLine="720"/>
        <w:jc w:val="both"/>
        <w:rPr>
          <w:lang w:val="vi-VN" w:eastAsia="zh-TW"/>
        </w:rPr>
      </w:pPr>
    </w:p>
    <w:p w14:paraId="6057D2B1" w14:textId="77777777" w:rsidR="008371BC" w:rsidRDefault="008371BC" w:rsidP="00857A87">
      <w:pPr>
        <w:spacing w:after="360" w:line="276" w:lineRule="auto"/>
        <w:ind w:firstLine="720"/>
        <w:jc w:val="both"/>
        <w:rPr>
          <w:lang w:val="vi-VN" w:eastAsia="zh-TW"/>
        </w:rPr>
      </w:pPr>
    </w:p>
    <w:p w14:paraId="7E7AA0C0" w14:textId="77777777" w:rsidR="008371BC" w:rsidRDefault="008371BC" w:rsidP="00857A87">
      <w:pPr>
        <w:spacing w:after="360" w:line="276" w:lineRule="auto"/>
        <w:ind w:firstLine="720"/>
        <w:jc w:val="both"/>
        <w:rPr>
          <w:lang w:val="vi-VN" w:eastAsia="zh-TW"/>
        </w:rPr>
      </w:pPr>
    </w:p>
    <w:p w14:paraId="5FFE5640" w14:textId="77777777" w:rsidR="008371BC" w:rsidRDefault="008371BC" w:rsidP="00857A87">
      <w:pPr>
        <w:spacing w:after="360" w:line="276" w:lineRule="auto"/>
        <w:ind w:firstLine="720"/>
        <w:jc w:val="both"/>
        <w:rPr>
          <w:lang w:val="vi-VN" w:eastAsia="zh-TW"/>
        </w:rPr>
      </w:pPr>
    </w:p>
    <w:p w14:paraId="1699E69B" w14:textId="77777777" w:rsidR="008371BC" w:rsidRDefault="008371BC" w:rsidP="00857A87">
      <w:pPr>
        <w:spacing w:after="360" w:line="276" w:lineRule="auto"/>
        <w:ind w:firstLine="720"/>
        <w:jc w:val="both"/>
        <w:rPr>
          <w:lang w:val="vi-VN" w:eastAsia="zh-TW"/>
        </w:rPr>
      </w:pPr>
    </w:p>
    <w:p w14:paraId="460668CD" w14:textId="77777777" w:rsidR="008371BC" w:rsidRDefault="008371BC" w:rsidP="00857A87">
      <w:pPr>
        <w:spacing w:after="360" w:line="276" w:lineRule="auto"/>
        <w:ind w:firstLine="720"/>
        <w:jc w:val="both"/>
        <w:rPr>
          <w:lang w:val="vi-VN" w:eastAsia="zh-TW"/>
        </w:rPr>
      </w:pPr>
    </w:p>
    <w:sectPr w:rsidR="008371BC" w:rsidSect="00182F19">
      <w:pgSz w:w="11909" w:h="16834"/>
      <w:pgMar w:top="1134" w:right="1134"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479B5" w14:textId="77777777" w:rsidR="005B37BF" w:rsidRDefault="005B37BF" w:rsidP="00444639">
      <w:r>
        <w:separator/>
      </w:r>
    </w:p>
  </w:endnote>
  <w:endnote w:type="continuationSeparator" w:id="0">
    <w:p w14:paraId="76CC7175" w14:textId="77777777" w:rsidR="005B37BF" w:rsidRDefault="005B37BF" w:rsidP="0044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E331B" w14:textId="77777777" w:rsidR="005B37BF" w:rsidRDefault="005B37BF" w:rsidP="00444639">
      <w:r>
        <w:separator/>
      </w:r>
    </w:p>
  </w:footnote>
  <w:footnote w:type="continuationSeparator" w:id="0">
    <w:p w14:paraId="169B6DA6" w14:textId="77777777" w:rsidR="005B37BF" w:rsidRDefault="005B37BF" w:rsidP="00444639">
      <w:r>
        <w:continuationSeparator/>
      </w:r>
    </w:p>
  </w:footnote>
  <w:footnote w:id="1">
    <w:p w14:paraId="40378EC0" w14:textId="77777777" w:rsidR="00444639" w:rsidRDefault="00444639" w:rsidP="00444639">
      <w:pPr>
        <w:pStyle w:val="FootnoteText"/>
        <w:ind w:hanging="2"/>
      </w:pPr>
      <w:r>
        <w:rPr>
          <w:rStyle w:val="FootnoteReference"/>
        </w:rPr>
        <w:footnoteRef/>
      </w:r>
      <w:r>
        <w:t xml:space="preserve"> Tại Công văn số 2544/PC ngày 22/10/2025</w:t>
      </w:r>
    </w:p>
  </w:footnote>
  <w:footnote w:id="2">
    <w:p w14:paraId="7A446FD4" w14:textId="77777777" w:rsidR="0022293F" w:rsidRDefault="0022293F" w:rsidP="0022293F">
      <w:pPr>
        <w:pStyle w:val="FootnoteText"/>
        <w:ind w:hanging="2"/>
      </w:pPr>
      <w:r>
        <w:rPr>
          <w:rStyle w:val="FootnoteReference"/>
        </w:rPr>
        <w:footnoteRef/>
      </w:r>
      <w:r>
        <w:t xml:space="preserve"> Tại Công văn số 2410/PC ngày 12/10/2025</w:t>
      </w:r>
    </w:p>
  </w:footnote>
  <w:footnote w:id="3">
    <w:p w14:paraId="5442879B" w14:textId="77777777" w:rsidR="00CB6715" w:rsidRDefault="00CB6715">
      <w:pPr>
        <w:pStyle w:val="FootnoteText"/>
        <w:ind w:hanging="2"/>
      </w:pPr>
      <w:r>
        <w:rPr>
          <w:rStyle w:val="FootnoteReference"/>
        </w:rPr>
        <w:footnoteRef/>
      </w:r>
      <w:r>
        <w:t xml:space="preserve"> Công văn số 2128/VPB6 ngày 21/10/2025</w:t>
      </w:r>
    </w:p>
  </w:footnote>
  <w:footnote w:id="4">
    <w:p w14:paraId="083BD275" w14:textId="77777777" w:rsidR="004442BD" w:rsidRDefault="004442BD" w:rsidP="002D16B0">
      <w:pPr>
        <w:pStyle w:val="FootnoteText"/>
        <w:ind w:hanging="2"/>
      </w:pPr>
      <w:r>
        <w:rPr>
          <w:rStyle w:val="FootnoteReference"/>
        </w:rPr>
        <w:footnoteRef/>
      </w:r>
      <w:r>
        <w:t xml:space="preserve"> Công văn số 2035/VPB6 ngày 13/10/2025</w:t>
      </w:r>
    </w:p>
    <w:p w14:paraId="7A0583E1" w14:textId="77777777" w:rsidR="004442BD" w:rsidRDefault="004442BD">
      <w:pPr>
        <w:pStyle w:val="FootnoteText"/>
        <w:ind w:hanging="2"/>
      </w:pPr>
    </w:p>
  </w:footnote>
  <w:footnote w:id="5">
    <w:p w14:paraId="4CD57C4B" w14:textId="77777777" w:rsidR="00DB4027" w:rsidRDefault="00DB4027" w:rsidP="005F6602">
      <w:pPr>
        <w:pStyle w:val="FootnoteText"/>
        <w:ind w:hanging="2"/>
      </w:pPr>
      <w:r>
        <w:rPr>
          <w:rStyle w:val="FootnoteReference"/>
        </w:rPr>
        <w:footnoteRef/>
      </w:r>
      <w:r>
        <w:t xml:space="preserve"> Công văn số 2128/VPB6 ngày 21/10/2025</w:t>
      </w:r>
    </w:p>
    <w:p w14:paraId="350E2A47" w14:textId="77777777" w:rsidR="00DB4027" w:rsidRDefault="00DB4027">
      <w:pPr>
        <w:pStyle w:val="FootnoteText"/>
        <w:ind w:hanging="2"/>
      </w:pPr>
    </w:p>
  </w:footnote>
  <w:footnote w:id="6">
    <w:p w14:paraId="51A44C5D" w14:textId="77777777" w:rsidR="008A124D" w:rsidRDefault="008A124D" w:rsidP="00E567CD">
      <w:pPr>
        <w:pStyle w:val="FootnoteText"/>
        <w:ind w:hanging="2"/>
      </w:pPr>
      <w:r>
        <w:rPr>
          <w:rStyle w:val="FootnoteReference"/>
        </w:rPr>
        <w:footnoteRef/>
      </w:r>
      <w:r>
        <w:t xml:space="preserve"> Tại Công văn số 2410/PC ngày 12/10/2025</w:t>
      </w:r>
    </w:p>
    <w:p w14:paraId="271267B9" w14:textId="77777777" w:rsidR="008A124D" w:rsidRDefault="008A124D">
      <w:pPr>
        <w:pStyle w:val="FootnoteText"/>
        <w:ind w:hanging="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270C9D"/>
    <w:multiLevelType w:val="hybridMultilevel"/>
    <w:tmpl w:val="2F0C5228"/>
    <w:lvl w:ilvl="0" w:tplc="68CA7EA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DB71223"/>
    <w:multiLevelType w:val="hybridMultilevel"/>
    <w:tmpl w:val="8CCE3C06"/>
    <w:lvl w:ilvl="0" w:tplc="2828D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D26"/>
    <w:rsid w:val="000507BD"/>
    <w:rsid w:val="0007710D"/>
    <w:rsid w:val="000E1E51"/>
    <w:rsid w:val="00113CDF"/>
    <w:rsid w:val="00142770"/>
    <w:rsid w:val="0015062A"/>
    <w:rsid w:val="00172806"/>
    <w:rsid w:val="00182F19"/>
    <w:rsid w:val="001852C7"/>
    <w:rsid w:val="001D0D26"/>
    <w:rsid w:val="0021541C"/>
    <w:rsid w:val="0022293F"/>
    <w:rsid w:val="002A0917"/>
    <w:rsid w:val="002A5FB4"/>
    <w:rsid w:val="00351CFD"/>
    <w:rsid w:val="0038730B"/>
    <w:rsid w:val="0041194E"/>
    <w:rsid w:val="00424D1F"/>
    <w:rsid w:val="004442BD"/>
    <w:rsid w:val="00444639"/>
    <w:rsid w:val="00447D8A"/>
    <w:rsid w:val="00480F03"/>
    <w:rsid w:val="004F774F"/>
    <w:rsid w:val="0055595F"/>
    <w:rsid w:val="005B37BF"/>
    <w:rsid w:val="006052A9"/>
    <w:rsid w:val="00625F15"/>
    <w:rsid w:val="006B071E"/>
    <w:rsid w:val="006B1092"/>
    <w:rsid w:val="00701152"/>
    <w:rsid w:val="00763D93"/>
    <w:rsid w:val="007661AC"/>
    <w:rsid w:val="007B0923"/>
    <w:rsid w:val="007B4B27"/>
    <w:rsid w:val="0081172C"/>
    <w:rsid w:val="008371BC"/>
    <w:rsid w:val="00857A87"/>
    <w:rsid w:val="00862BDC"/>
    <w:rsid w:val="008A124D"/>
    <w:rsid w:val="009244DF"/>
    <w:rsid w:val="00997089"/>
    <w:rsid w:val="00A06925"/>
    <w:rsid w:val="00A10C5A"/>
    <w:rsid w:val="00A46E5A"/>
    <w:rsid w:val="00A521C1"/>
    <w:rsid w:val="00A91A48"/>
    <w:rsid w:val="00AA54A9"/>
    <w:rsid w:val="00B07387"/>
    <w:rsid w:val="00B11D6E"/>
    <w:rsid w:val="00B21796"/>
    <w:rsid w:val="00B87CA5"/>
    <w:rsid w:val="00BA32D5"/>
    <w:rsid w:val="00BB484C"/>
    <w:rsid w:val="00BD2E56"/>
    <w:rsid w:val="00C321E7"/>
    <w:rsid w:val="00C60AF1"/>
    <w:rsid w:val="00CB0DFA"/>
    <w:rsid w:val="00CB6715"/>
    <w:rsid w:val="00D737A6"/>
    <w:rsid w:val="00DA7C14"/>
    <w:rsid w:val="00DB4027"/>
    <w:rsid w:val="00DC22D2"/>
    <w:rsid w:val="00DC3198"/>
    <w:rsid w:val="00DF23EE"/>
    <w:rsid w:val="00E63D25"/>
    <w:rsid w:val="00E66C73"/>
    <w:rsid w:val="00EB6AAC"/>
    <w:rsid w:val="00EB765E"/>
    <w:rsid w:val="00F56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24A2"/>
  <w15:docId w15:val="{A2067056-6D69-4846-A2DC-BA7D84A2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pPr>
      <w:suppressAutoHyphens/>
      <w:spacing w:before="240" w:after="60" w:line="1" w:lineRule="atLeast"/>
      <w:ind w:leftChars="-1" w:left="-1" w:hangingChars="1" w:hanging="1"/>
      <w:jc w:val="both"/>
      <w:textDirection w:val="btLr"/>
      <w:textAlignment w:val="top"/>
      <w:outlineLvl w:val="8"/>
    </w:pPr>
    <w:rPr>
      <w:rFonts w:ascii="Arial" w:hAnsi="Arial" w:cs="Arial"/>
      <w:position w:val="-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sz w:val="24"/>
      <w:szCs w:val="24"/>
      <w:lang w:val="en-US" w:eastAsia="en-US"/>
    </w:rPr>
  </w:style>
  <w:style w:type="character" w:styleId="PageNumber">
    <w:name w:val="page number"/>
    <w:basedOn w:val="DefaultParagraphFont"/>
    <w:rPr>
      <w:w w:val="100"/>
      <w:position w:val="-1"/>
      <w:effect w:val="none"/>
      <w:vertAlign w:val="baseline"/>
      <w:cs w:val="0"/>
      <w:em w:val="none"/>
    </w:rPr>
  </w:style>
  <w:style w:type="paragraph" w:customStyle="1" w:styleId="Char">
    <w:name w:val="Char"/>
    <w:basedOn w:val="Normal"/>
    <w:pPr>
      <w:suppressAutoHyphens/>
      <w:spacing w:after="160" w:line="240" w:lineRule="atLeast"/>
      <w:ind w:leftChars="-1" w:left="-1" w:hangingChars="1" w:hanging="1"/>
      <w:textDirection w:val="btLr"/>
      <w:textAlignment w:val="top"/>
      <w:outlineLvl w:val="0"/>
    </w:pPr>
    <w:rPr>
      <w:rFonts w:ascii="Arial" w:hAnsi="Arial" w:cs="Arial"/>
      <w:position w:val="-1"/>
      <w:sz w:val="22"/>
      <w:szCs w:val="22"/>
      <w:lang w:val="en-US" w:eastAsia="en-US"/>
    </w:rPr>
  </w:style>
  <w:style w:type="paragraph" w:customStyle="1" w:styleId="Char0">
    <w:name w:val="Char"/>
    <w:basedOn w:val="Normal"/>
    <w:pPr>
      <w:suppressAutoHyphens/>
      <w:spacing w:after="160" w:line="240" w:lineRule="atLeast"/>
      <w:ind w:leftChars="-1" w:left="-1" w:hangingChars="1" w:hanging="1"/>
      <w:textDirection w:val="btLr"/>
      <w:textAlignment w:val="top"/>
      <w:outlineLvl w:val="0"/>
    </w:pPr>
    <w:rPr>
      <w:rFonts w:ascii="Arial" w:hAnsi="Arial" w:cs="Arial"/>
      <w:position w:val="-1"/>
      <w:sz w:val="22"/>
      <w:szCs w:val="22"/>
      <w:lang w:val="en-US" w:eastAsia="en-US"/>
    </w:rPr>
  </w:style>
  <w:style w:type="paragraph" w:styleId="Footer">
    <w:name w:val="footer"/>
    <w:basedOn w:val="Normal"/>
    <w:pPr>
      <w:suppressAutoHyphens/>
      <w:spacing w:line="1" w:lineRule="atLeast"/>
      <w:ind w:leftChars="-1" w:left="-1" w:hangingChars="1" w:hanging="1"/>
      <w:textDirection w:val="btLr"/>
      <w:textAlignment w:val="top"/>
      <w:outlineLvl w:val="0"/>
    </w:pPr>
    <w:rPr>
      <w:position w:val="-1"/>
      <w:lang w:val="en-US" w:eastAsia="en-US"/>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pPr>
      <w:suppressAutoHyphens/>
      <w:spacing w:after="160" w:line="240" w:lineRule="atLeast"/>
      <w:ind w:leftChars="-1" w:left="-1" w:hangingChars="1" w:hanging="1"/>
      <w:textDirection w:val="btLr"/>
      <w:textAlignment w:val="top"/>
      <w:outlineLvl w:val="0"/>
    </w:pPr>
    <w:rPr>
      <w:rFonts w:ascii="Arial" w:hAnsi="Arial" w:cs="Arial"/>
      <w:position w:val="-1"/>
      <w:sz w:val="22"/>
      <w:szCs w:val="22"/>
      <w:lang w:val="en-US" w:eastAsia="en-US"/>
    </w:rPr>
  </w:style>
  <w:style w:type="paragraph" w:customStyle="1" w:styleId="CharCharCharChar">
    <w:name w:val="Char Char Char Char"/>
    <w:basedOn w:val="Normal"/>
    <w:pPr>
      <w:suppressAutoHyphens/>
      <w:spacing w:after="160" w:line="240" w:lineRule="atLeast"/>
      <w:ind w:leftChars="-1" w:left="-1" w:hangingChars="1" w:hanging="1"/>
      <w:textDirection w:val="btLr"/>
      <w:textAlignment w:val="top"/>
      <w:outlineLvl w:val="0"/>
    </w:pPr>
    <w:rPr>
      <w:rFonts w:ascii="Verdana" w:hAnsi="Verdana"/>
      <w:position w:val="-1"/>
      <w:sz w:val="20"/>
      <w:szCs w:val="20"/>
      <w:lang w:val="en-US" w:eastAsia="en-US"/>
    </w:rPr>
  </w:style>
  <w:style w:type="character" w:customStyle="1" w:styleId="SubtitleChar">
    <w:name w:val="Subtitle Char"/>
    <w:rPr>
      <w:rFonts w:ascii=".VnTimeH" w:hAnsi=".VnTimeH" w:cs=".VnTimeH"/>
      <w:b/>
      <w:bCs/>
      <w:w w:val="100"/>
      <w:position w:val="-1"/>
      <w:sz w:val="28"/>
      <w:szCs w:val="28"/>
      <w:effect w:val="none"/>
      <w:vertAlign w:val="baseline"/>
      <w:cs w:val="0"/>
      <w:em w:val="none"/>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VnTime" w:hAnsi=".VnTime"/>
      <w:position w:val="-1"/>
      <w:szCs w:val="24"/>
      <w:lang w:val="en-US" w:eastAsia="en-US"/>
    </w:rPr>
  </w:style>
  <w:style w:type="character" w:customStyle="1" w:styleId="BodyTextChar">
    <w:name w:val="Body Text Char"/>
    <w:rPr>
      <w:rFonts w:ascii=".VnTime" w:hAnsi=".VnTime"/>
      <w:w w:val="100"/>
      <w:position w:val="-1"/>
      <w:sz w:val="28"/>
      <w:szCs w:val="24"/>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eastAsia="en-US"/>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Segoe UI" w:hAnsi="Segoe UI" w:cs="Segoe UI"/>
      <w:position w:val="-1"/>
      <w:sz w:val="18"/>
      <w:szCs w:val="18"/>
      <w:lang w:val="en-US" w:eastAsia="en-US"/>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noteText">
    <w:name w:val="footnote text"/>
    <w:basedOn w:val="Normal"/>
    <w:uiPriority w:val="99"/>
    <w:qFormat/>
    <w:pPr>
      <w:suppressAutoHyphens/>
      <w:spacing w:line="1" w:lineRule="atLeast"/>
      <w:ind w:leftChars="-1" w:left="-1" w:hangingChars="1" w:hanging="1"/>
      <w:textDirection w:val="btLr"/>
      <w:textAlignment w:val="top"/>
      <w:outlineLvl w:val="0"/>
    </w:pPr>
    <w:rPr>
      <w:position w:val="-1"/>
      <w:sz w:val="20"/>
      <w:szCs w:val="20"/>
      <w:lang w:val="en-US" w:eastAsia="en-US"/>
    </w:rPr>
  </w:style>
  <w:style w:type="character" w:customStyle="1" w:styleId="FootnoteTextChar">
    <w:name w:val="Footnote Text Char"/>
    <w:basedOn w:val="DefaultParagraphFont"/>
    <w:uiPriority w:val="99"/>
    <w:rPr>
      <w:w w:val="100"/>
      <w:position w:val="-1"/>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paragraph" w:styleId="BodyTextIndent2">
    <w:name w:val="Body Text Indent 2"/>
    <w:basedOn w:val="Normal"/>
    <w:qFormat/>
    <w:pPr>
      <w:suppressAutoHyphens/>
      <w:spacing w:after="120" w:line="480" w:lineRule="auto"/>
      <w:ind w:leftChars="-1" w:left="360" w:hangingChars="1" w:hanging="1"/>
      <w:textDirection w:val="btLr"/>
      <w:textAlignment w:val="top"/>
      <w:outlineLvl w:val="0"/>
    </w:pPr>
    <w:rPr>
      <w:position w:val="-1"/>
      <w:lang w:val="en-US" w:eastAsia="en-US"/>
    </w:rPr>
  </w:style>
  <w:style w:type="character" w:customStyle="1" w:styleId="BodyTextIndent2Char">
    <w:name w:val="Body Text Indent 2 Char"/>
    <w:rPr>
      <w:w w:val="100"/>
      <w:position w:val="-1"/>
      <w:sz w:val="28"/>
      <w:szCs w:val="28"/>
      <w:effect w:val="none"/>
      <w:vertAlign w:val="baseline"/>
      <w:cs w:val="0"/>
      <w:em w:val="none"/>
    </w:rPr>
  </w:style>
  <w:style w:type="paragraph" w:styleId="NormalWeb">
    <w:name w:val="Normal (Web)"/>
    <w:basedOn w:val="Normal"/>
    <w:uiPriority w:val="99"/>
    <w:qFormat/>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n-US" w:eastAsia="en-US"/>
    </w:rPr>
  </w:style>
  <w:style w:type="character" w:customStyle="1" w:styleId="FooterChar">
    <w:name w:val="Footer Char"/>
    <w:rPr>
      <w:w w:val="100"/>
      <w:position w:val="-1"/>
      <w:sz w:val="28"/>
      <w:szCs w:val="28"/>
      <w:effect w:val="none"/>
      <w:vertAlign w:val="baseline"/>
      <w:cs w:val="0"/>
      <w:em w:val="none"/>
    </w:rPr>
  </w:style>
  <w:style w:type="character" w:customStyle="1" w:styleId="Bodytext0">
    <w:name w:val="Body text_"/>
    <w:rPr>
      <w:w w:val="100"/>
      <w:position w:val="-1"/>
      <w:effect w:val="none"/>
      <w:shd w:val="clear" w:color="auto" w:fill="FFFFFF"/>
      <w:vertAlign w:val="baseline"/>
      <w:cs w:val="0"/>
      <w:em w:val="none"/>
    </w:rPr>
  </w:style>
  <w:style w:type="paragraph" w:customStyle="1" w:styleId="Bodytext1">
    <w:name w:val="Body text1"/>
    <w:basedOn w:val="Normal"/>
    <w:pPr>
      <w:widowControl w:val="0"/>
      <w:shd w:val="clear" w:color="auto" w:fill="FFFFFF"/>
      <w:suppressAutoHyphens/>
      <w:spacing w:after="180" w:line="240" w:lineRule="atLeast"/>
      <w:ind w:leftChars="-1" w:left="-1" w:hangingChars="1" w:hanging="1"/>
      <w:jc w:val="both"/>
      <w:textDirection w:val="btLr"/>
      <w:textAlignment w:val="top"/>
      <w:outlineLvl w:val="0"/>
    </w:pPr>
    <w:rPr>
      <w:position w:val="-1"/>
      <w:sz w:val="20"/>
      <w:szCs w:val="20"/>
      <w:lang w:val="en-US" w:eastAsia="en-US"/>
    </w:rPr>
  </w:style>
  <w:style w:type="character" w:customStyle="1" w:styleId="Vnbnnidung">
    <w:name w:val="Văn bản nội dung_"/>
    <w:rPr>
      <w:w w:val="100"/>
      <w:position w:val="-1"/>
      <w:sz w:val="28"/>
      <w:szCs w:val="28"/>
      <w:effect w:val="none"/>
      <w:vertAlign w:val="baseline"/>
      <w:cs w:val="0"/>
      <w:em w:val="none"/>
    </w:rPr>
  </w:style>
  <w:style w:type="paragraph" w:customStyle="1" w:styleId="Vnbnnidung0">
    <w:name w:val="Văn bản nội dung"/>
    <w:basedOn w:val="Normal"/>
    <w:pPr>
      <w:widowControl w:val="0"/>
      <w:suppressAutoHyphens/>
      <w:spacing w:after="60" w:line="312" w:lineRule="auto"/>
      <w:ind w:leftChars="-1" w:left="-1" w:hangingChars="1" w:hanging="1"/>
      <w:textDirection w:val="btLr"/>
      <w:textAlignment w:val="top"/>
      <w:outlineLvl w:val="0"/>
    </w:pPr>
    <w:rPr>
      <w:position w:val="-1"/>
      <w:lang w:val="en-US" w:eastAsia="en-US"/>
    </w:rPr>
  </w:style>
  <w:style w:type="paragraph" w:customStyle="1" w:styleId="Char1">
    <w:name w:val="Char"/>
    <w:basedOn w:val="Normal"/>
    <w:pPr>
      <w:suppressAutoHyphens/>
      <w:spacing w:after="160" w:line="240" w:lineRule="atLeast"/>
      <w:ind w:leftChars="-1" w:left="-1" w:hangingChars="1" w:hanging="1"/>
      <w:textDirection w:val="btLr"/>
      <w:textAlignment w:val="top"/>
      <w:outlineLvl w:val="0"/>
    </w:pPr>
    <w:rPr>
      <w:rFonts w:ascii="Verdana" w:hAnsi="Verdana" w:cs="Verdana"/>
      <w:position w:val="-1"/>
      <w:sz w:val="20"/>
      <w:szCs w:val="20"/>
      <w:lang w:val="en-US"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uppressAutoHyphens/>
      <w:spacing w:line="1" w:lineRule="atLeast"/>
      <w:ind w:leftChars="-1" w:left="-1" w:hangingChars="1" w:hanging="1"/>
      <w:textDirection w:val="btLr"/>
      <w:textAlignment w:val="top"/>
      <w:outlineLvl w:val="0"/>
    </w:pPr>
    <w:rPr>
      <w:position w:val="-1"/>
      <w:sz w:val="20"/>
      <w:szCs w:val="20"/>
      <w:lang w:val="en-US" w:eastAsia="en-US"/>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fontstyle01">
    <w:name w:val="fontstyle01"/>
    <w:rPr>
      <w:rFonts w:ascii="Times New Roman" w:hAnsi="Times New Roman" w:cs="Times New Roman" w:hint="default"/>
      <w:color w:val="000000"/>
      <w:w w:val="100"/>
      <w:position w:val="-1"/>
      <w:sz w:val="28"/>
      <w:szCs w:val="28"/>
      <w:effect w:val="none"/>
      <w:vertAlign w:val="baseline"/>
      <w:cs w:val="0"/>
      <w:em w:val="none"/>
    </w:r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rPr>
  </w:style>
  <w:style w:type="character" w:customStyle="1" w:styleId="Heading9Char">
    <w:name w:val="Heading 9 Char"/>
    <w:rPr>
      <w:rFonts w:ascii="Arial" w:hAnsi="Arial" w:cs="Arial"/>
      <w:w w:val="100"/>
      <w:position w:val="-1"/>
      <w:sz w:val="22"/>
      <w:szCs w:val="22"/>
      <w:effect w:val="none"/>
      <w:vertAlign w:val="baseline"/>
      <w:cs w:val="0"/>
      <w:em w:val="none"/>
      <w:lang w:val="en-US" w:eastAsia="en-US"/>
    </w:rPr>
  </w:style>
  <w:style w:type="paragraph" w:styleId="Subtitle">
    <w:name w:val="Subtitle"/>
    <w:basedOn w:val="Normal"/>
    <w:next w:val="Normal"/>
    <w:uiPriority w:val="11"/>
    <w:qFormat/>
    <w:pPr>
      <w:jc w:val="center"/>
    </w:pPr>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huvienphapluat.vn/van-ban/the-thao-y-te/nghi-dinh-98-2021-nd-cp-quan-ly-trang-thiet-bi-y-te-493940.aspx" TargetMode="External"/><Relationship Id="rId4" Type="http://schemas.openxmlformats.org/officeDocument/2006/relationships/settings" Target="settings.xml"/><Relationship Id="rId9" Type="http://schemas.openxmlformats.org/officeDocument/2006/relationships/hyperlink" Target="https://thuvienphapluat.vn/van-ban/the-thao-y-te/nghi-dinh-98-2021-nd-cp-quan-ly-trang-thiet-bi-y-te-49394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BPHB3LuKDgOrCLXch7UT0y6Ntg==">CgMxLjA4AHIhMXhZSGJNRFVrRVc2UHltR0Z5cHMyM2wwMWZBWElrUEMw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LEHONGHAI</dc:creator>
  <cp:lastModifiedBy>ADMINZ</cp:lastModifiedBy>
  <cp:revision>28</cp:revision>
  <cp:lastPrinted>2025-09-25T13:35:00Z</cp:lastPrinted>
  <dcterms:created xsi:type="dcterms:W3CDTF">2025-11-04T09:54:00Z</dcterms:created>
  <dcterms:modified xsi:type="dcterms:W3CDTF">2025-11-09T22:45:00Z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Document_Confidentiality">
    <vt:lpwstr>Unrestricted</vt:lpwstr>
  </property>
  <property fmtid="{D5CDD505-2E9C-101B-9397-08002B2CF9AE}" pid="4" name="sodocoClasLang">
    <vt:lpwstr>Unrestricted</vt:lpwstr>
  </property>
  <property fmtid="{D5CDD505-2E9C-101B-9397-08002B2CF9AE}" pid="5" name="sodocoClasLangId">
    <vt:i4>0</vt:i4>
  </property>
  <property fmtid="{D5CDD505-2E9C-101B-9397-08002B2CF9AE}" pid="6" name="sodocoClasId">
    <vt:i4>0</vt:i4>
  </property>
  <property fmtid="{D5CDD505-2E9C-101B-9397-08002B2CF9AE}" pid="7" name="_AdHocReviewCycleID">
    <vt:i4>-853391719</vt:i4>
  </property>
  <property fmtid="{D5CDD505-2E9C-101B-9397-08002B2CF9AE}" pid="8" name="_NewReviewCycle">
    <vt:lpwstr/>
  </property>
  <property fmtid="{D5CDD505-2E9C-101B-9397-08002B2CF9AE}" pid="9" name="_EmailSubject">
    <vt:lpwstr>Cong van DMEC gửi Công khai giá</vt:lpwstr>
  </property>
  <property fmtid="{D5CDD505-2E9C-101B-9397-08002B2CF9AE}" pid="10" name="_AuthorEmail">
    <vt:lpwstr>pham-thi-thu.ha@siemens-healthineers.com</vt:lpwstr>
  </property>
  <property fmtid="{D5CDD505-2E9C-101B-9397-08002B2CF9AE}" pid="11" name="_AuthorEmailDisplayName">
    <vt:lpwstr>Ha, Pham Thi Thu (SHS AP ASN QT)</vt:lpwstr>
  </property>
  <property fmtid="{D5CDD505-2E9C-101B-9397-08002B2CF9AE}" pid="12" name="_ReviewingToolsShownOnce">
    <vt:lpwstr/>
  </property>
</Properties>
</file>